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rPr>
      </w:pPr>
      <w:r>
        <w:rPr>
          <w:rFonts w:hint="eastAsia" w:ascii="方正小标宋简体" w:hAnsi="宋体" w:eastAsia="方正小标宋简体" w:cs="Times New Roman"/>
          <w:b/>
          <w:color w:val="000000"/>
          <w:sz w:val="36"/>
          <w:szCs w:val="36"/>
          <w:highlight w:val="none"/>
          <w:lang w:val="en-US" w:eastAsia="zh-CN"/>
        </w:rPr>
        <w:t>电磁流量计等241230</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电磁流量计等241230</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19185224122609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电磁流量计等241230</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300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bookmarkStart w:id="0" w:name="_GoBack"/>
      <w:bookmarkEnd w:id="0"/>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30</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uiPriority w:val="0"/>
    <w:rPr>
      <w:rFonts w:ascii="Times New Roman" w:hAnsi="Times New Roman" w:eastAsia="宋体" w:cs="Times New Roman"/>
      <w:lang w:val="en-US" w:eastAsia="zh-CN" w:bidi="ar-SA"/>
    </w:rPr>
  </w:style>
  <w:style w:type="paragraph" w:customStyle="1" w:styleId="241">
    <w:name w:val="font14"/>
    <w:basedOn w:val="1"/>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uiPriority w:val="0"/>
    <w:pPr>
      <w:topLinePunct/>
      <w:spacing w:before="40" w:after="40" w:line="240" w:lineRule="auto"/>
    </w:pPr>
    <w:rPr>
      <w:sz w:val="18"/>
      <w:szCs w:val="18"/>
    </w:rPr>
  </w:style>
  <w:style w:type="paragraph" w:customStyle="1" w:styleId="278">
    <w:name w:val="xl106"/>
    <w:basedOn w:val="1"/>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uiPriority w:val="0"/>
    <w:pPr>
      <w:spacing w:line="240" w:lineRule="auto"/>
    </w:pPr>
    <w:rPr>
      <w:sz w:val="21"/>
      <w:szCs w:val="21"/>
    </w:rPr>
  </w:style>
  <w:style w:type="paragraph" w:customStyle="1" w:styleId="293">
    <w:name w:val="reader-word-layer reader-word-s1-7"/>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uiPriority w:val="0"/>
    <w:pPr>
      <w:widowControl/>
      <w:spacing w:before="100" w:beforeAutospacing="1" w:after="100" w:afterAutospacing="1" w:line="240" w:lineRule="auto"/>
      <w:jc w:val="center"/>
    </w:pPr>
    <w:rPr>
      <w:kern w:val="0"/>
    </w:rPr>
  </w:style>
  <w:style w:type="paragraph" w:customStyle="1" w:styleId="317">
    <w:name w:val="font13"/>
    <w:basedOn w:val="1"/>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2024-12-30T08:36:10Z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