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废水在线监测系统250109</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废水在线监测系统250109</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19185225010962</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废水在线监测系统250109</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仿宋_GB2312" w:cs="Times New Roman"/>
          <w:kern w:val="2"/>
          <w:sz w:val="28"/>
          <w:szCs w:val="28"/>
          <w:u w:val="single"/>
          <w:lang w:val="en-US" w:eastAsia="zh-CN" w:bidi="ar-SA"/>
        </w:rPr>
      </w:pPr>
      <w:r>
        <w:rPr>
          <w:rFonts w:hint="eastAsia" w:ascii="黑体" w:hAnsi="黑体" w:eastAsia="黑体"/>
          <w:szCs w:val="28"/>
          <w:lang w:val="en-US" w:eastAsia="zh-CN"/>
        </w:rPr>
        <w:t>五、交付地点：成都</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）招标人视情况对投标人资质、供货能力、资信、业绩等相关资料的真实性进行实质审查和实地考察，如发现虚假信息，有权作废标或取消中标资格处理，投标保证金不予返还。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 xml:space="preserve">人民币 </w:t>
      </w:r>
      <w:r>
        <w:rPr>
          <w:rFonts w:hint="eastAsia" w:ascii="仿宋_GB2312" w:hAnsi="仿宋_GB2312" w:eastAsia="仿宋_GB2312" w:cs="仿宋_GB2312"/>
          <w:b/>
          <w:bCs/>
          <w:color w:val="auto"/>
          <w:sz w:val="28"/>
          <w:szCs w:val="28"/>
          <w:highlight w:val="none"/>
          <w:u w:val="single"/>
          <w:lang w:val="en-US" w:eastAsia="zh-CN"/>
        </w:rPr>
        <w:t>300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u w:val="single"/>
          <w:lang w:val="en-US" w:eastAsia="zh-CN"/>
        </w:rPr>
      </w:pPr>
      <w:r>
        <w:rPr>
          <w:rFonts w:hint="eastAsia" w:ascii="仿宋_GB2312" w:hAnsi="仿宋_GB2312" w:eastAsia="仿宋_GB2312" w:cs="仿宋_GB2312"/>
          <w:color w:val="000000"/>
          <w:kern w:val="0"/>
          <w:sz w:val="28"/>
          <w:szCs w:val="28"/>
          <w:highlight w:val="none"/>
          <w:lang w:val="en-US" w:eastAsia="zh-CN"/>
        </w:rPr>
        <w:t>技术联系人</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15163463351</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w:t>
      </w:r>
      <w:bookmarkStart w:id="0" w:name="_GoBack"/>
      <w:bookmarkEnd w:id="0"/>
      <w:r>
        <w:rPr>
          <w:rFonts w:hint="eastAsia" w:ascii="仿宋_GB2312" w:hAnsi="仿宋_GB2312" w:eastAsia="仿宋_GB2312" w:cs="仿宋_GB2312"/>
          <w:sz w:val="28"/>
          <w:szCs w:val="28"/>
          <w:highlight w:val="none"/>
          <w:lang w:eastAsia="zh-CN"/>
        </w:rPr>
        <w:t>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9</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2025-01-09T05:22:58Z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