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46DB9">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山东钢铁</w:t>
      </w:r>
      <w:r>
        <w:rPr>
          <w:rFonts w:hint="eastAsia" w:ascii="方正小标宋简体" w:eastAsia="方正小标宋简体"/>
          <w:sz w:val="44"/>
          <w:szCs w:val="44"/>
          <w:lang w:val="en-US" w:eastAsia="zh-CN"/>
        </w:rPr>
        <w:t>集团日照有限公司</w:t>
      </w:r>
    </w:p>
    <w:p w14:paraId="442834E4">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bookmarkStart w:id="0" w:name="公告名称"/>
      <w:r>
        <w:rPr>
          <w:rFonts w:hint="eastAsia" w:ascii="方正小标宋简体" w:eastAsia="方正小标宋简体"/>
          <w:sz w:val="44"/>
          <w:szCs w:val="44"/>
          <w:lang w:val="en-US" w:eastAsia="zh-CN"/>
        </w:rPr>
        <w:t>日照公司危废物资竞卖</w:t>
      </w:r>
      <w:r>
        <w:rPr>
          <w:rFonts w:hint="default" w:ascii="方正小标宋简体" w:eastAsia="方正小标宋简体"/>
          <w:sz w:val="44"/>
          <w:szCs w:val="44"/>
          <w:lang w:val="en-US" w:eastAsia="zh-CN"/>
        </w:rPr>
        <w:t>公告202</w:t>
      </w:r>
      <w:r>
        <w:rPr>
          <w:rFonts w:hint="eastAsia" w:ascii="方正小标宋简体" w:eastAsia="方正小标宋简体"/>
          <w:sz w:val="44"/>
          <w:szCs w:val="44"/>
          <w:lang w:val="en-US" w:eastAsia="zh-CN"/>
        </w:rPr>
        <w:t>50321</w:t>
      </w:r>
      <w:bookmarkEnd w:id="0"/>
    </w:p>
    <w:p w14:paraId="6F8DD867">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p>
    <w:p w14:paraId="7CE14645">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山东钢铁</w:t>
      </w:r>
      <w:r>
        <w:rPr>
          <w:rFonts w:hint="eastAsia" w:ascii="仿宋_GB2312" w:hAnsi="宋体" w:eastAsia="仿宋_GB2312" w:cs="仿宋_GB2312"/>
          <w:kern w:val="0"/>
          <w:sz w:val="32"/>
          <w:szCs w:val="32"/>
          <w:lang w:val="en-US" w:eastAsia="zh-CN"/>
        </w:rPr>
        <w:t>集团日照</w:t>
      </w:r>
      <w:r>
        <w:rPr>
          <w:rFonts w:hint="eastAsia" w:ascii="仿宋_GB2312" w:hAnsi="宋体" w:eastAsia="仿宋_GB2312" w:cs="仿宋_GB2312"/>
          <w:kern w:val="0"/>
          <w:sz w:val="32"/>
          <w:szCs w:val="32"/>
        </w:rPr>
        <w:t>有限公司现组织对</w:t>
      </w:r>
      <w:r>
        <w:rPr>
          <w:rFonts w:hint="eastAsia" w:ascii="仿宋_GB2312" w:hAnsi="宋体" w:eastAsia="仿宋_GB2312" w:cs="仿宋_GB2312"/>
          <w:kern w:val="0"/>
          <w:sz w:val="32"/>
          <w:szCs w:val="32"/>
          <w:lang w:val="en-US" w:eastAsia="zh-CN"/>
        </w:rPr>
        <w:t>公司一批危废物资</w:t>
      </w:r>
      <w:r>
        <w:rPr>
          <w:rFonts w:hint="eastAsia" w:ascii="仿宋_GB2312" w:hAnsi="宋体" w:eastAsia="仿宋_GB2312" w:cs="仿宋_GB2312"/>
          <w:kern w:val="0"/>
          <w:sz w:val="32"/>
          <w:szCs w:val="32"/>
        </w:rPr>
        <w:t>进行公开销售，相关事项公告如下：</w:t>
      </w:r>
    </w:p>
    <w:p w14:paraId="15622FE7">
      <w:pPr>
        <w:pStyle w:val="2"/>
        <w:pageBreakBefore w:val="0"/>
        <w:kinsoku/>
        <w:wordWrap/>
        <w:overflowPunct/>
        <w:topLinePunct w:val="0"/>
        <w:autoSpaceDE/>
        <w:autoSpaceDN/>
        <w:bidi w:val="0"/>
        <w:adjustRightInd/>
        <w:snapToGrid/>
        <w:spacing w:line="560" w:lineRule="exact"/>
      </w:pPr>
      <w:r>
        <w:rPr>
          <w:rFonts w:hint="eastAsia"/>
        </w:rPr>
        <w:t>本次公开销售的销售主体及资源</w:t>
      </w:r>
    </w:p>
    <w:p w14:paraId="1608110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销售主体：山东钢铁集团日照有限公司</w:t>
      </w:r>
    </w:p>
    <w:p w14:paraId="64DEF2C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kern w:val="0"/>
          <w:sz w:val="32"/>
          <w:szCs w:val="32"/>
        </w:rPr>
        <w:t>资源</w:t>
      </w:r>
      <w:r>
        <w:rPr>
          <w:rFonts w:hint="eastAsia" w:ascii="仿宋_GB2312" w:hAnsi="宋体" w:eastAsia="仿宋_GB2312" w:cs="仿宋_GB2312"/>
          <w:color w:val="auto"/>
          <w:kern w:val="0"/>
          <w:sz w:val="32"/>
          <w:szCs w:val="32"/>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1"/>
        <w:gridCol w:w="1543"/>
        <w:gridCol w:w="1835"/>
        <w:gridCol w:w="1823"/>
        <w:gridCol w:w="1431"/>
        <w:gridCol w:w="1098"/>
        <w:gridCol w:w="1991"/>
      </w:tblGrid>
      <w:tr w14:paraId="7AB1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1" w:type="dxa"/>
            <w:shd w:val="clear" w:color="auto" w:fill="auto"/>
            <w:noWrap/>
            <w:vAlign w:val="center"/>
          </w:tcPr>
          <w:p w14:paraId="588154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包号</w:t>
            </w:r>
          </w:p>
        </w:tc>
        <w:tc>
          <w:tcPr>
            <w:tcW w:w="1543" w:type="dxa"/>
            <w:shd w:val="clear" w:color="auto" w:fill="auto"/>
            <w:noWrap/>
            <w:vAlign w:val="center"/>
          </w:tcPr>
          <w:p w14:paraId="2FE9D0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合并名称</w:t>
            </w:r>
          </w:p>
        </w:tc>
        <w:tc>
          <w:tcPr>
            <w:tcW w:w="1835" w:type="dxa"/>
            <w:shd w:val="clear" w:color="auto" w:fill="auto"/>
            <w:noWrap/>
            <w:vAlign w:val="center"/>
          </w:tcPr>
          <w:p w14:paraId="323A29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组分名称</w:t>
            </w:r>
          </w:p>
        </w:tc>
        <w:tc>
          <w:tcPr>
            <w:tcW w:w="1823" w:type="dxa"/>
            <w:shd w:val="clear" w:color="auto" w:fill="auto"/>
            <w:noWrap/>
            <w:vAlign w:val="center"/>
          </w:tcPr>
          <w:p w14:paraId="7591AA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危废代码</w:t>
            </w:r>
          </w:p>
        </w:tc>
        <w:tc>
          <w:tcPr>
            <w:tcW w:w="1431" w:type="dxa"/>
            <w:shd w:val="clear" w:color="auto" w:fill="auto"/>
            <w:noWrap/>
            <w:vAlign w:val="center"/>
          </w:tcPr>
          <w:p w14:paraId="1523BC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单组分重量</w:t>
            </w:r>
          </w:p>
          <w:p w14:paraId="1AA770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098" w:type="dxa"/>
            <w:shd w:val="clear" w:color="auto" w:fill="auto"/>
            <w:noWrap/>
            <w:vAlign w:val="center"/>
          </w:tcPr>
          <w:p w14:paraId="041457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总重</w:t>
            </w:r>
          </w:p>
          <w:p w14:paraId="3A5959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991" w:type="dxa"/>
            <w:shd w:val="clear" w:color="auto" w:fill="auto"/>
            <w:noWrap/>
            <w:vAlign w:val="center"/>
          </w:tcPr>
          <w:p w14:paraId="5652D2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主要来源</w:t>
            </w:r>
          </w:p>
        </w:tc>
      </w:tr>
      <w:tr w14:paraId="67A3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 w:hRule="atLeast"/>
        </w:trPr>
        <w:tc>
          <w:tcPr>
            <w:tcW w:w="961" w:type="dxa"/>
            <w:shd w:val="clear" w:color="auto" w:fill="auto"/>
            <w:noWrap/>
            <w:vAlign w:val="center"/>
          </w:tcPr>
          <w:p w14:paraId="38911917">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543" w:type="dxa"/>
            <w:shd w:val="clear" w:color="auto" w:fill="auto"/>
            <w:noWrap/>
            <w:vAlign w:val="center"/>
          </w:tcPr>
          <w:p w14:paraId="225088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废铅酸蓄电池</w:t>
            </w:r>
          </w:p>
        </w:tc>
        <w:tc>
          <w:tcPr>
            <w:tcW w:w="1835" w:type="dxa"/>
            <w:shd w:val="clear" w:color="auto" w:fill="auto"/>
            <w:noWrap/>
            <w:vAlign w:val="center"/>
          </w:tcPr>
          <w:p w14:paraId="591C3B4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废铅酸蓄电池</w:t>
            </w:r>
          </w:p>
        </w:tc>
        <w:tc>
          <w:tcPr>
            <w:tcW w:w="1823" w:type="dxa"/>
            <w:shd w:val="clear" w:color="auto" w:fill="auto"/>
            <w:noWrap/>
            <w:vAlign w:val="center"/>
          </w:tcPr>
          <w:p w14:paraId="362004E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HW31 900-052-31</w:t>
            </w:r>
          </w:p>
        </w:tc>
        <w:tc>
          <w:tcPr>
            <w:tcW w:w="1431" w:type="dxa"/>
            <w:shd w:val="clear" w:color="auto" w:fill="auto"/>
            <w:noWrap/>
            <w:vAlign w:val="center"/>
          </w:tcPr>
          <w:p w14:paraId="2961D0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98" w:type="dxa"/>
            <w:shd w:val="clear" w:color="auto" w:fill="auto"/>
            <w:noWrap/>
            <w:vAlign w:val="center"/>
          </w:tcPr>
          <w:p w14:paraId="29A791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991" w:type="dxa"/>
            <w:shd w:val="clear" w:color="auto" w:fill="auto"/>
            <w:noWrap/>
            <w:vAlign w:val="center"/>
          </w:tcPr>
          <w:p w14:paraId="0145FD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全厂</w:t>
            </w:r>
          </w:p>
        </w:tc>
      </w:tr>
    </w:tbl>
    <w:p w14:paraId="43A9C0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auto"/>
          <w:kern w:val="0"/>
          <w:sz w:val="32"/>
          <w:szCs w:val="32"/>
        </w:rPr>
      </w:pPr>
    </w:p>
    <w:p w14:paraId="7CA5D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重量单位为吨，为预估数量，以拍卖方的实际出库的重量为准，不接受由于预估数量差异或货品指标差异而产生的任何异议。</w:t>
      </w:r>
      <w:r>
        <w:rPr>
          <w:rFonts w:hint="eastAsia" w:ascii="黑体" w:hAnsi="黑体" w:eastAsia="黑体" w:cs="黑体"/>
          <w:color w:val="auto"/>
          <w:kern w:val="0"/>
          <w:sz w:val="28"/>
          <w:szCs w:val="28"/>
          <w:em w:val="dot"/>
          <w:lang w:val="en-US" w:eastAsia="zh-CN"/>
        </w:rPr>
        <w:t>注意，各标的废旧物资须以整体报价，不进行除杂</w:t>
      </w:r>
      <w:r>
        <w:rPr>
          <w:rFonts w:hint="eastAsia" w:ascii="黑体" w:hAnsi="黑体" w:eastAsia="黑体" w:cs="黑体"/>
          <w:color w:val="auto"/>
          <w:kern w:val="0"/>
          <w:sz w:val="28"/>
          <w:szCs w:val="28"/>
          <w:lang w:val="en-US" w:eastAsia="zh-CN"/>
        </w:rPr>
        <w:t>。不出具质保书、不受理异议。资源储存在山东钢铁集团日照有限公司各分厂。</w:t>
      </w:r>
    </w:p>
    <w:p w14:paraId="4B716F10">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每次派车两种</w:t>
      </w:r>
      <w:r>
        <w:rPr>
          <w:rFonts w:hint="eastAsia" w:ascii="黑体" w:hAnsi="黑体" w:eastAsia="黑体" w:cs="黑体"/>
          <w:b w:val="0"/>
          <w:bCs/>
          <w:kern w:val="0"/>
          <w:sz w:val="28"/>
          <w:szCs w:val="28"/>
          <w:lang w:val="en-US" w:eastAsia="zh-CN"/>
        </w:rPr>
        <w:t>及以上</w:t>
      </w:r>
      <w:r>
        <w:rPr>
          <w:rFonts w:hint="eastAsia" w:ascii="黑体" w:hAnsi="黑体" w:eastAsia="黑体" w:cs="黑体"/>
          <w:b w:val="0"/>
          <w:bCs/>
          <w:kern w:val="0"/>
          <w:sz w:val="28"/>
          <w:szCs w:val="28"/>
        </w:rPr>
        <w:t>货品一并转移</w:t>
      </w:r>
      <w:r>
        <w:rPr>
          <w:rFonts w:hint="eastAsia" w:ascii="黑体" w:hAnsi="黑体" w:eastAsia="黑体" w:cs="黑体"/>
          <w:b w:val="0"/>
          <w:bCs/>
          <w:kern w:val="0"/>
          <w:sz w:val="28"/>
          <w:szCs w:val="28"/>
          <w:lang w:val="en-US" w:eastAsia="zh-CN"/>
        </w:rPr>
        <w:t>的</w:t>
      </w:r>
      <w:r>
        <w:rPr>
          <w:rFonts w:hint="eastAsia" w:ascii="黑体" w:hAnsi="黑体" w:eastAsia="黑体" w:cs="黑体"/>
          <w:b w:val="0"/>
          <w:bCs/>
          <w:kern w:val="0"/>
          <w:sz w:val="28"/>
          <w:szCs w:val="28"/>
        </w:rPr>
        <w:t>，分别开具联单。</w:t>
      </w:r>
    </w:p>
    <w:p w14:paraId="74E036F4">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危废对应产生期限为：2025年4月1日至2025年6月30日。</w:t>
      </w:r>
    </w:p>
    <w:p w14:paraId="11505233">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沾染油废物</w:t>
      </w:r>
      <w:r>
        <w:rPr>
          <w:rFonts w:hint="eastAsia" w:ascii="黑体" w:hAnsi="黑体" w:eastAsia="黑体" w:cs="黑体"/>
          <w:b w:val="0"/>
          <w:bCs/>
          <w:kern w:val="0"/>
          <w:sz w:val="28"/>
          <w:szCs w:val="28"/>
        </w:rPr>
        <w:t>原则上要求满40件（袋/桶）进行一次转移，每次约6-8吨，数量仅为预估数量，包装物一并转移。此标段涉及的废物包含但不限于我司</w:t>
      </w:r>
      <w:r>
        <w:rPr>
          <w:rFonts w:hint="eastAsia" w:ascii="黑体" w:hAnsi="黑体" w:eastAsia="黑体" w:cs="黑体"/>
          <w:b w:val="0"/>
          <w:bCs/>
          <w:kern w:val="0"/>
          <w:sz w:val="28"/>
          <w:szCs w:val="28"/>
          <w:lang w:val="en-US" w:eastAsia="zh-CN"/>
        </w:rPr>
        <w:t>金海分公司、</w:t>
      </w:r>
      <w:r>
        <w:rPr>
          <w:rFonts w:hint="eastAsia" w:ascii="黑体" w:hAnsi="黑体" w:eastAsia="黑体" w:cs="黑体"/>
          <w:b w:val="0"/>
          <w:bCs/>
          <w:kern w:val="0"/>
          <w:sz w:val="28"/>
          <w:szCs w:val="28"/>
        </w:rPr>
        <w:t>炼铁厂、中厚板厂、炼铁厂、冷轧厂、炼钢厂、热轧厂、</w:t>
      </w:r>
      <w:r>
        <w:rPr>
          <w:rFonts w:hint="eastAsia" w:ascii="黑体" w:hAnsi="黑体" w:eastAsia="黑体" w:cs="黑体"/>
          <w:b w:val="0"/>
          <w:bCs/>
          <w:kern w:val="0"/>
          <w:sz w:val="28"/>
          <w:szCs w:val="28"/>
          <w:lang w:val="en-US" w:eastAsia="zh-CN"/>
        </w:rPr>
        <w:t>能源环保部</w:t>
      </w:r>
      <w:r>
        <w:rPr>
          <w:rFonts w:hint="eastAsia" w:ascii="黑体" w:hAnsi="黑体" w:eastAsia="黑体" w:cs="黑体"/>
          <w:b w:val="0"/>
          <w:bCs/>
          <w:kern w:val="0"/>
          <w:sz w:val="28"/>
          <w:szCs w:val="28"/>
        </w:rPr>
        <w:t>等八个厂区的不同包装种类，每次拉运需要涉及到八个厂区的40个左右的装货地点，装货对接需要投标方自行协调规划。</w:t>
      </w:r>
    </w:p>
    <w:p w14:paraId="35A01460">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各包货品</w:t>
      </w:r>
      <w:r>
        <w:rPr>
          <w:rFonts w:hint="eastAsia" w:ascii="黑体" w:hAnsi="黑体" w:eastAsia="黑体" w:cs="黑体"/>
          <w:b w:val="0"/>
          <w:bCs/>
          <w:kern w:val="0"/>
          <w:sz w:val="28"/>
          <w:szCs w:val="28"/>
        </w:rPr>
        <w:t>入厂约车、过磅、出厂等需要投标方自行办理。流程问题可咨询相应客服电话。</w:t>
      </w:r>
    </w:p>
    <w:p w14:paraId="5CC37B84">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要求</w:t>
      </w:r>
      <w:r>
        <w:rPr>
          <w:rFonts w:hint="eastAsia" w:ascii="黑体" w:hAnsi="黑体" w:eastAsia="黑体" w:cs="黑体"/>
          <w:b w:val="0"/>
          <w:bCs/>
          <w:kern w:val="0"/>
          <w:sz w:val="28"/>
          <w:szCs w:val="28"/>
          <w:lang w:val="en-US" w:eastAsia="zh-CN"/>
        </w:rPr>
        <w:t>按产生规律</w:t>
      </w:r>
      <w:r>
        <w:rPr>
          <w:rFonts w:hint="eastAsia" w:ascii="黑体" w:hAnsi="黑体" w:eastAsia="黑体" w:cs="黑体"/>
          <w:b w:val="0"/>
          <w:bCs/>
          <w:kern w:val="0"/>
          <w:sz w:val="28"/>
          <w:szCs w:val="28"/>
        </w:rPr>
        <w:t>或根据现场需求进行转移，数量仅为预估数量</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以实际产生量为准。</w:t>
      </w:r>
    </w:p>
    <w:p w14:paraId="5B1000BA">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在循环宝平台，公开增价模式的</w:t>
      </w:r>
      <w:r>
        <w:rPr>
          <w:rFonts w:hint="eastAsia" w:ascii="黑体" w:hAnsi="黑体" w:eastAsia="黑体" w:cs="黑体"/>
          <w:b w:val="0"/>
          <w:bCs/>
          <w:kern w:val="0"/>
          <w:sz w:val="28"/>
          <w:szCs w:val="28"/>
        </w:rPr>
        <w:t>，为买方付款</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税率为13%</w:t>
      </w:r>
      <w:r>
        <w:rPr>
          <w:rFonts w:hint="eastAsia" w:ascii="黑体" w:hAnsi="黑体" w:eastAsia="黑体" w:cs="黑体"/>
          <w:b w:val="0"/>
          <w:bCs/>
          <w:kern w:val="0"/>
          <w:sz w:val="28"/>
          <w:szCs w:val="28"/>
        </w:rPr>
        <w:t>；</w:t>
      </w:r>
      <w:r>
        <w:rPr>
          <w:rFonts w:hint="eastAsia" w:ascii="黑体" w:hAnsi="黑体" w:eastAsia="黑体" w:cs="黑体"/>
          <w:b w:val="0"/>
          <w:bCs/>
          <w:kern w:val="0"/>
          <w:sz w:val="28"/>
          <w:szCs w:val="28"/>
          <w:lang w:val="en-US" w:eastAsia="zh-CN"/>
        </w:rPr>
        <w:t>反向竞价模式</w:t>
      </w:r>
      <w:r>
        <w:rPr>
          <w:rFonts w:hint="eastAsia" w:ascii="黑体" w:hAnsi="黑体" w:eastAsia="黑体" w:cs="黑体"/>
          <w:b w:val="0"/>
          <w:bCs/>
          <w:kern w:val="0"/>
          <w:sz w:val="28"/>
          <w:szCs w:val="28"/>
        </w:rPr>
        <w:t>的，为卖方付款</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税率为6%</w:t>
      </w:r>
      <w:r>
        <w:rPr>
          <w:rFonts w:hint="eastAsia" w:ascii="黑体" w:hAnsi="黑体" w:eastAsia="黑体" w:cs="黑体"/>
          <w:b w:val="0"/>
          <w:bCs/>
          <w:kern w:val="0"/>
          <w:sz w:val="28"/>
          <w:szCs w:val="28"/>
        </w:rPr>
        <w:t>。</w:t>
      </w:r>
    </w:p>
    <w:p w14:paraId="6C427EBD">
      <w:pPr>
        <w:pStyle w:val="2"/>
        <w:pageBreakBefore w:val="0"/>
        <w:kinsoku/>
        <w:wordWrap/>
        <w:overflowPunct/>
        <w:topLinePunct w:val="0"/>
        <w:autoSpaceDE/>
        <w:autoSpaceDN/>
        <w:bidi w:val="0"/>
        <w:adjustRightInd/>
        <w:snapToGrid/>
        <w:spacing w:line="560" w:lineRule="exact"/>
      </w:pPr>
      <w:r>
        <w:rPr>
          <w:rFonts w:hint="eastAsia"/>
        </w:rPr>
        <w:t>销售方式</w:t>
      </w:r>
    </w:p>
    <w:p w14:paraId="3DAC5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本批资源明细发布到欧冶</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平台（</w:t>
      </w:r>
      <w:r>
        <w:rPr>
          <w:rFonts w:hint="eastAsia" w:ascii="仿宋_GB2312" w:hAnsi="宋体" w:eastAsia="仿宋_GB2312" w:cs="仿宋_GB2312"/>
          <w:kern w:val="0"/>
          <w:sz w:val="32"/>
          <w:szCs w:val="32"/>
          <w:lang w:val="en-US" w:eastAsia="zh-CN"/>
        </w:rPr>
        <w:t>网址：</w:t>
      </w:r>
      <w:r>
        <w:rPr>
          <w:rFonts w:hint="eastAsia" w:ascii="仿宋_GB2312" w:hAnsi="宋体" w:eastAsia="仿宋_GB2312" w:cs="仿宋_GB2312"/>
          <w:kern w:val="0"/>
          <w:sz w:val="32"/>
          <w:szCs w:val="32"/>
        </w:rPr>
        <w:t>https://www.ouyeel.com/search-ng/exchange/home</w:t>
      </w:r>
      <w:r>
        <w:rPr>
          <w:rFonts w:hint="eastAsia" w:ascii="仿宋_GB2312" w:hAnsi="宋体" w:eastAsia="仿宋_GB2312" w:cs="仿宋_GB2312"/>
          <w:color w:val="auto"/>
          <w:kern w:val="0"/>
          <w:sz w:val="32"/>
          <w:szCs w:val="32"/>
        </w:rPr>
        <w:t>）进行公告</w:t>
      </w:r>
      <w:r>
        <w:rPr>
          <w:rFonts w:hint="eastAsia" w:ascii="仿宋_GB2312" w:hAnsi="宋体" w:eastAsia="仿宋_GB2312" w:cs="仿宋_GB2312"/>
          <w:color w:val="auto"/>
          <w:kern w:val="0"/>
          <w:sz w:val="32"/>
          <w:szCs w:val="32"/>
          <w:lang w:val="en-US" w:eastAsia="zh-CN"/>
        </w:rPr>
        <w:t>。竞价</w:t>
      </w:r>
      <w:r>
        <w:rPr>
          <w:rFonts w:hint="eastAsia" w:ascii="仿宋_GB2312" w:hAnsi="宋体" w:eastAsia="仿宋_GB2312" w:cs="仿宋_GB2312"/>
          <w:kern w:val="0"/>
          <w:sz w:val="32"/>
          <w:szCs w:val="32"/>
        </w:rPr>
        <w:t>成功者与销售主体签订线下合同</w:t>
      </w:r>
      <w:r>
        <w:rPr>
          <w:rFonts w:hint="eastAsia" w:ascii="仿宋_GB2312" w:hAnsi="宋体" w:eastAsia="仿宋_GB2312" w:cs="仿宋_GB2312"/>
          <w:kern w:val="0"/>
          <w:sz w:val="32"/>
          <w:szCs w:val="32"/>
          <w:lang w:eastAsia="zh-CN"/>
        </w:rPr>
        <w:t>。</w:t>
      </w:r>
    </w:p>
    <w:p w14:paraId="1B4ACBB4">
      <w:pPr>
        <w:pStyle w:val="2"/>
        <w:pageBreakBefore w:val="0"/>
        <w:kinsoku/>
        <w:wordWrap/>
        <w:overflowPunct/>
        <w:topLinePunct w:val="0"/>
        <w:autoSpaceDE/>
        <w:autoSpaceDN/>
        <w:bidi w:val="0"/>
        <w:adjustRightInd/>
        <w:snapToGrid/>
        <w:spacing w:line="560" w:lineRule="exact"/>
        <w:rPr>
          <w:rFonts w:ascii="黑体" w:hAnsi="黑体" w:eastAsia="黑体" w:cs="黑体"/>
          <w:b w:val="0"/>
          <w:bCs w:val="0"/>
          <w:kern w:val="0"/>
          <w:sz w:val="32"/>
          <w:szCs w:val="32"/>
        </w:rPr>
      </w:pPr>
      <w:r>
        <w:rPr>
          <w:rFonts w:hint="eastAsia" w:ascii="黑体" w:hAnsi="黑体" w:eastAsia="黑体" w:cs="黑体"/>
          <w:b w:val="0"/>
          <w:bCs w:val="0"/>
          <w:sz w:val="32"/>
          <w:szCs w:val="32"/>
        </w:rPr>
        <w:t>销售</w:t>
      </w:r>
      <w:r>
        <w:rPr>
          <w:rFonts w:hint="eastAsia" w:ascii="黑体" w:hAnsi="黑体" w:eastAsia="黑体" w:cs="黑体"/>
          <w:b w:val="0"/>
          <w:bCs w:val="0"/>
          <w:kern w:val="0"/>
          <w:sz w:val="32"/>
          <w:szCs w:val="32"/>
        </w:rPr>
        <w:t>价格</w:t>
      </w:r>
    </w:p>
    <w:p w14:paraId="02E5E07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本次销售为设底价</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，底价公开。底价由</w:t>
      </w:r>
      <w:r>
        <w:rPr>
          <w:rFonts w:hint="eastAsia" w:ascii="仿宋_GB2312" w:hAnsi="宋体" w:eastAsia="仿宋_GB2312" w:cs="仿宋_GB2312"/>
          <w:kern w:val="0"/>
          <w:sz w:val="32"/>
          <w:szCs w:val="32"/>
          <w:lang w:val="en-US" w:eastAsia="zh-CN"/>
        </w:rPr>
        <w:t>山钢集团日照</w:t>
      </w:r>
      <w:r>
        <w:rPr>
          <w:rFonts w:hint="eastAsia" w:ascii="仿宋_GB2312" w:hAnsi="宋体" w:eastAsia="仿宋_GB2312" w:cs="仿宋_GB2312"/>
          <w:kern w:val="0"/>
          <w:sz w:val="32"/>
          <w:szCs w:val="32"/>
        </w:rPr>
        <w:t>有限公司制定，在开始时间前公布。</w:t>
      </w:r>
      <w:r>
        <w:rPr>
          <w:rFonts w:hint="eastAsia" w:ascii="仿宋_GB2312" w:hAnsi="宋体" w:eastAsia="仿宋_GB2312" w:cs="仿宋_GB2312"/>
          <w:kern w:val="0"/>
          <w:sz w:val="32"/>
          <w:szCs w:val="32"/>
          <w:lang w:val="en-US" w:eastAsia="zh-CN"/>
        </w:rPr>
        <w:t>按照循环宝平台规则确定中标者。</w:t>
      </w:r>
    </w:p>
    <w:p w14:paraId="7C770E4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竞价</w:t>
      </w:r>
      <w:r>
        <w:rPr>
          <w:rFonts w:hint="eastAsia" w:ascii="仿宋_GB2312" w:hAnsi="宋体" w:eastAsia="仿宋_GB2312" w:cs="仿宋_GB2312"/>
          <w:kern w:val="0"/>
          <w:sz w:val="32"/>
          <w:szCs w:val="32"/>
        </w:rPr>
        <w:t>价格每次</w:t>
      </w:r>
      <w:r>
        <w:rPr>
          <w:rFonts w:hint="eastAsia" w:ascii="仿宋_GB2312" w:hAnsi="宋体" w:eastAsia="仿宋_GB2312" w:cs="仿宋_GB2312"/>
          <w:kern w:val="0"/>
          <w:sz w:val="32"/>
          <w:szCs w:val="32"/>
          <w:lang w:val="en-US" w:eastAsia="zh-CN"/>
        </w:rPr>
        <w:t>做</w:t>
      </w:r>
      <w:r>
        <w:rPr>
          <w:rFonts w:hint="eastAsia" w:ascii="仿宋_GB2312" w:hAnsi="宋体" w:eastAsia="仿宋_GB2312" w:cs="仿宋_GB2312"/>
          <w:kern w:val="0"/>
          <w:sz w:val="32"/>
          <w:szCs w:val="32"/>
        </w:rPr>
        <w:t>加价</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或减价</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调整</w:t>
      </w:r>
      <w:r>
        <w:rPr>
          <w:rFonts w:hint="eastAsia" w:ascii="仿宋_GB2312" w:hAnsi="宋体" w:eastAsia="仿宋_GB2312" w:cs="仿宋_GB2312"/>
          <w:kern w:val="0"/>
          <w:sz w:val="32"/>
          <w:szCs w:val="32"/>
        </w:rPr>
        <w:t>幅度要求</w:t>
      </w:r>
      <w:r>
        <w:rPr>
          <w:rFonts w:hint="eastAsia" w:ascii="仿宋_GB2312" w:hAnsi="宋体" w:eastAsia="仿宋_GB2312" w:cs="仿宋_GB2312"/>
          <w:kern w:val="0"/>
          <w:sz w:val="32"/>
          <w:szCs w:val="32"/>
          <w:highlight w:val="none"/>
        </w:rPr>
        <w:t>为</w:t>
      </w:r>
      <w:r>
        <w:rPr>
          <w:rFonts w:hint="eastAsia" w:ascii="仿宋_GB2312" w:hAnsi="宋体" w:eastAsia="仿宋_GB2312" w:cs="仿宋_GB2312"/>
          <w:kern w:val="0"/>
          <w:sz w:val="32"/>
          <w:szCs w:val="32"/>
          <w:highlight w:val="none"/>
          <w:em w:val="dot"/>
          <w:lang w:val="en-US" w:eastAsia="zh-CN"/>
        </w:rPr>
        <w:t>1</w:t>
      </w:r>
      <w:r>
        <w:rPr>
          <w:rFonts w:hint="eastAsia" w:ascii="仿宋_GB2312" w:hAnsi="宋体" w:eastAsia="仿宋_GB2312" w:cs="仿宋_GB2312"/>
          <w:kern w:val="0"/>
          <w:sz w:val="32"/>
          <w:szCs w:val="32"/>
          <w:highlight w:val="none"/>
          <w:em w:val="dot"/>
        </w:rPr>
        <w:t>元</w:t>
      </w:r>
      <w:r>
        <w:rPr>
          <w:rFonts w:ascii="仿宋_GB2312" w:hAnsi="宋体" w:eastAsia="仿宋_GB2312" w:cs="仿宋_GB2312"/>
          <w:kern w:val="0"/>
          <w:sz w:val="32"/>
          <w:szCs w:val="32"/>
          <w:highlight w:val="none"/>
          <w:em w:val="dot"/>
        </w:rPr>
        <w:t>/</w:t>
      </w:r>
      <w:r>
        <w:rPr>
          <w:rFonts w:hint="eastAsia" w:ascii="仿宋_GB2312" w:hAnsi="宋体" w:eastAsia="仿宋_GB2312" w:cs="仿宋_GB2312"/>
          <w:kern w:val="0"/>
          <w:sz w:val="32"/>
          <w:szCs w:val="32"/>
          <w:highlight w:val="none"/>
          <w:em w:val="dot"/>
        </w:rPr>
        <w:t>吨</w:t>
      </w:r>
      <w:r>
        <w:rPr>
          <w:rFonts w:hint="eastAsia" w:ascii="仿宋_GB2312" w:hAnsi="宋体" w:eastAsia="仿宋_GB2312" w:cs="仿宋_GB2312"/>
          <w:kern w:val="0"/>
          <w:sz w:val="32"/>
          <w:szCs w:val="32"/>
          <w:highlight w:val="none"/>
        </w:rPr>
        <w:t>的</w:t>
      </w:r>
      <w:r>
        <w:rPr>
          <w:rFonts w:hint="eastAsia" w:ascii="仿宋_GB2312" w:hAnsi="宋体" w:eastAsia="仿宋_GB2312" w:cs="仿宋_GB2312"/>
          <w:kern w:val="0"/>
          <w:sz w:val="32"/>
          <w:szCs w:val="32"/>
        </w:rPr>
        <w:t>整数倍。</w:t>
      </w:r>
    </w:p>
    <w:p w14:paraId="3DE6908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价格为含税现汇付款价格。</w:t>
      </w:r>
    </w:p>
    <w:p w14:paraId="2C923C4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成功者厂内自提，自提车辆为</w:t>
      </w:r>
      <w:r>
        <w:rPr>
          <w:rFonts w:hint="eastAsia" w:ascii="仿宋_GB2312" w:hAnsi="宋体" w:eastAsia="仿宋_GB2312" w:cs="仿宋_GB2312"/>
          <w:color w:val="auto"/>
          <w:kern w:val="0"/>
          <w:sz w:val="32"/>
          <w:szCs w:val="32"/>
          <w:lang w:val="en-US" w:eastAsia="zh-CN"/>
        </w:rPr>
        <w:t>不低于国五标准货车或</w:t>
      </w:r>
      <w:r>
        <w:rPr>
          <w:rFonts w:hint="eastAsia" w:ascii="仿宋_GB2312" w:hAnsi="宋体" w:eastAsia="仿宋_GB2312" w:cs="仿宋_GB2312"/>
          <w:color w:val="auto"/>
          <w:kern w:val="0"/>
          <w:sz w:val="32"/>
          <w:szCs w:val="32"/>
        </w:rPr>
        <w:t>电动</w:t>
      </w:r>
      <w:r>
        <w:rPr>
          <w:rFonts w:hint="eastAsia" w:ascii="仿宋_GB2312" w:hAnsi="宋体" w:eastAsia="仿宋_GB2312" w:cs="仿宋_GB2312"/>
          <w:color w:val="auto"/>
          <w:kern w:val="0"/>
          <w:sz w:val="32"/>
          <w:szCs w:val="32"/>
          <w:lang w:val="en-US" w:eastAsia="zh-CN"/>
        </w:rPr>
        <w:t>等新能源</w:t>
      </w:r>
      <w:r>
        <w:rPr>
          <w:rFonts w:hint="eastAsia" w:ascii="仿宋_GB2312" w:hAnsi="宋体" w:eastAsia="仿宋_GB2312" w:cs="仿宋_GB2312"/>
          <w:color w:val="auto"/>
          <w:kern w:val="0"/>
          <w:sz w:val="32"/>
          <w:szCs w:val="32"/>
        </w:rPr>
        <w:t>车辆，</w:t>
      </w:r>
      <w:r>
        <w:rPr>
          <w:rFonts w:hint="eastAsia" w:ascii="仿宋_GB2312" w:hAnsi="宋体" w:eastAsia="仿宋_GB2312" w:cs="仿宋_GB2312"/>
          <w:color w:val="auto"/>
          <w:kern w:val="0"/>
          <w:sz w:val="32"/>
          <w:szCs w:val="32"/>
          <w:lang w:val="en-US" w:eastAsia="zh-CN"/>
        </w:rPr>
        <w:t>具体</w:t>
      </w:r>
      <w:r>
        <w:rPr>
          <w:rFonts w:hint="eastAsia" w:ascii="仿宋_GB2312" w:hAnsi="宋体" w:eastAsia="仿宋_GB2312" w:cs="仿宋_GB2312"/>
          <w:color w:val="auto"/>
          <w:kern w:val="0"/>
          <w:sz w:val="32"/>
          <w:szCs w:val="32"/>
        </w:rPr>
        <w:t>按照山东钢铁集团日照有限公司规定执行。</w:t>
      </w:r>
    </w:p>
    <w:p w14:paraId="7487D9D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销售主体与</w:t>
      </w: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成功者办理结算，结算价格为</w:t>
      </w: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成功价格。</w:t>
      </w:r>
    </w:p>
    <w:p w14:paraId="732B4703">
      <w:pPr>
        <w:pStyle w:val="2"/>
        <w:pageBreakBefore w:val="0"/>
        <w:kinsoku/>
        <w:wordWrap/>
        <w:overflowPunct/>
        <w:topLinePunct w:val="0"/>
        <w:autoSpaceDE/>
        <w:autoSpaceDN/>
        <w:bidi w:val="0"/>
        <w:adjustRightInd/>
        <w:snapToGrid/>
        <w:spacing w:line="560" w:lineRule="exact"/>
        <w:rPr>
          <w:rFonts w:hint="eastAsia"/>
        </w:rPr>
      </w:pPr>
      <w:r>
        <w:rPr>
          <w:rFonts w:hint="eastAsia"/>
        </w:rPr>
        <w:t>资质要求</w:t>
      </w:r>
    </w:p>
    <w:p w14:paraId="6EB7B0C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竞买方须为在国内注册的中国公司，具备一般纳税人资格。</w:t>
      </w:r>
    </w:p>
    <w:p w14:paraId="4DCF157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具有</w:t>
      </w:r>
      <w:r>
        <w:rPr>
          <w:rFonts w:hint="eastAsia" w:ascii="仿宋_GB2312" w:hAnsi="宋体" w:eastAsia="仿宋_GB2312" w:cs="仿宋_GB2312"/>
          <w:kern w:val="0"/>
          <w:sz w:val="32"/>
          <w:szCs w:val="32"/>
          <w:em w:val="dot"/>
          <w:lang w:val="en-US" w:eastAsia="zh-CN" w:bidi="ar-SA"/>
        </w:rPr>
        <w:t>山东省内上述表中各包对应危废代码</w:t>
      </w:r>
      <w:r>
        <w:rPr>
          <w:rFonts w:hint="eastAsia" w:ascii="仿宋_GB2312" w:hAnsi="宋体" w:eastAsia="仿宋_GB2312" w:cs="仿宋_GB2312"/>
          <w:kern w:val="0"/>
          <w:sz w:val="32"/>
          <w:szCs w:val="32"/>
          <w:lang w:val="en-US" w:eastAsia="zh-CN" w:bidi="ar-SA"/>
        </w:rPr>
        <w:t>的危险废物处置或利用资质。</w:t>
      </w:r>
    </w:p>
    <w:p w14:paraId="187D1441">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废铅酸蓄电池例外放宽要求：具有山东省内HW31（900-052-31）危险废物处置或利用资质，或日照市具有山东省内HW31（900-052-31）危险废物经营资质的综合收集单位，或纳入山</w:t>
      </w:r>
      <w:bookmarkStart w:id="12" w:name="_GoBack"/>
      <w:bookmarkEnd w:id="12"/>
      <w:r>
        <w:rPr>
          <w:rFonts w:hint="eastAsia" w:ascii="仿宋_GB2312" w:hAnsi="宋体" w:eastAsia="仿宋_GB2312" w:cs="仿宋_GB2312"/>
          <w:kern w:val="0"/>
          <w:sz w:val="32"/>
          <w:szCs w:val="32"/>
          <w:lang w:val="en-US" w:eastAsia="zh-CN" w:bidi="ar-SA"/>
        </w:rPr>
        <w:t>东省规范管理的废铅酸蓄电池收集站企业。收集资质单位除了要提供本单位危废许可资料，还需提供与下游处置单位的</w:t>
      </w:r>
      <w:r>
        <w:rPr>
          <w:rFonts w:hint="eastAsia" w:ascii="仿宋_GB2312" w:hAnsi="宋体" w:eastAsia="仿宋_GB2312" w:cs="仿宋_GB2312"/>
          <w:kern w:val="0"/>
          <w:sz w:val="32"/>
          <w:szCs w:val="32"/>
          <w:em w:val="dot"/>
          <w:lang w:val="en-US" w:eastAsia="zh-CN" w:bidi="ar-SA"/>
        </w:rPr>
        <w:t>正规合同</w:t>
      </w:r>
      <w:r>
        <w:rPr>
          <w:rFonts w:hint="eastAsia" w:ascii="仿宋_GB2312" w:hAnsi="宋体" w:eastAsia="仿宋_GB2312" w:cs="仿宋_GB2312"/>
          <w:kern w:val="0"/>
          <w:sz w:val="32"/>
          <w:szCs w:val="32"/>
          <w:lang w:val="en-US" w:eastAsia="zh-CN" w:bidi="ar-SA"/>
        </w:rPr>
        <w:t>以及</w:t>
      </w:r>
      <w:r>
        <w:rPr>
          <w:rFonts w:hint="eastAsia" w:ascii="仿宋_GB2312" w:hAnsi="宋体" w:eastAsia="仿宋_GB2312" w:cs="仿宋_GB2312"/>
          <w:kern w:val="0"/>
          <w:sz w:val="32"/>
          <w:szCs w:val="32"/>
          <w:em w:val="dot"/>
          <w:lang w:val="en-US" w:eastAsia="zh-CN" w:bidi="ar-SA"/>
        </w:rPr>
        <w:t>下游处置单位的危废许可资料</w:t>
      </w:r>
      <w:r>
        <w:rPr>
          <w:rFonts w:hint="eastAsia" w:ascii="仿宋_GB2312" w:hAnsi="宋体" w:eastAsia="仿宋_GB2312" w:cs="仿宋_GB2312"/>
          <w:kern w:val="0"/>
          <w:sz w:val="32"/>
          <w:szCs w:val="32"/>
          <w:lang w:val="en-US" w:eastAsia="zh-CN" w:bidi="ar-SA"/>
        </w:rPr>
        <w:t>。</w:t>
      </w:r>
    </w:p>
    <w:p w14:paraId="2650B82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同时满足以上要求的客户，按照系统要求及网上投标注册流程，在《山钢集团招标采购与拍卖管理信息平台》完成注册、上传公告要求文件、报名、报价的一系列工作，逐步成功后方可参与（方法见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_Ref149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附件4</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）；注册的法人或授权委托人联系方式须确保畅通。</w:t>
      </w:r>
    </w:p>
    <w:p w14:paraId="62C7A8B8">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公告要求文件：营业执照（合并税务登记证）、危废许可证、授权委托书等材料。上传文件需加盖公司行政章。</w:t>
      </w:r>
    </w:p>
    <w:p w14:paraId="13DB3D8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资质不符，请勿参与，在循环宝平台上的报价视为无效报价。</w:t>
      </w:r>
    </w:p>
    <w:p w14:paraId="13151520">
      <w:pPr>
        <w:pStyle w:val="2"/>
        <w:pageBreakBefore w:val="0"/>
        <w:kinsoku/>
        <w:wordWrap/>
        <w:overflowPunct/>
        <w:topLinePunct w:val="0"/>
        <w:autoSpaceDE/>
        <w:autoSpaceDN/>
        <w:bidi w:val="0"/>
        <w:adjustRightInd/>
        <w:snapToGrid/>
        <w:spacing w:line="560" w:lineRule="exact"/>
        <w:rPr>
          <w:rFonts w:hint="eastAsia"/>
        </w:rPr>
      </w:pPr>
      <w:r>
        <w:rPr>
          <w:rFonts w:hint="eastAsia"/>
        </w:rPr>
        <w:t>参加</w:t>
      </w:r>
      <w:r>
        <w:rPr>
          <w:rFonts w:hint="eastAsia"/>
          <w:lang w:eastAsia="zh-CN"/>
        </w:rPr>
        <w:t>竞价</w:t>
      </w:r>
      <w:r>
        <w:rPr>
          <w:rFonts w:hint="eastAsia"/>
        </w:rPr>
        <w:t>的资格评审及相关要求</w:t>
      </w:r>
    </w:p>
    <w:p w14:paraId="73BEE5D0">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现场踏勘参与条件：自行准备、穿戴齐全劳保护品（安全帽、长袖工作服、绝缘鞋、口罩等）；提前电话报名预约；准时在日照公司北1门内侧丁字路口（可导航至此）集合（见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_Ref32430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图 2集中汇合点</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）；不按照要求参加踏勘的，视同放弃参加现场看货的权利；未按要求参加现场踏勘且参与报价的，视为对本次产品的属性认同。</w:t>
      </w:r>
    </w:p>
    <w:p w14:paraId="047E02C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本次竞价需要在竞价开始前按照循环宝平台显示实际保证金（含服务费）进行缴纳。</w:t>
      </w:r>
    </w:p>
    <w:p w14:paraId="09443CA4">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山钢集团日照有限公司</w:t>
      </w:r>
      <w:r>
        <w:rPr>
          <w:rFonts w:hint="eastAsia" w:ascii="仿宋_GB2312" w:hAnsi="宋体" w:eastAsia="仿宋_GB2312" w:cs="仿宋_GB2312"/>
          <w:kern w:val="0"/>
          <w:sz w:val="32"/>
          <w:szCs w:val="32"/>
        </w:rPr>
        <w:t>与</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将对缴纳</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保证金的</w:t>
      </w:r>
      <w:r>
        <w:rPr>
          <w:rFonts w:hint="eastAsia" w:ascii="仿宋_GB2312" w:hAnsi="宋体" w:eastAsia="仿宋_GB2312" w:cs="仿宋_GB2312"/>
          <w:kern w:val="0"/>
          <w:sz w:val="32"/>
          <w:szCs w:val="32"/>
          <w:lang w:val="en-US" w:eastAsia="zh-CN"/>
        </w:rPr>
        <w:t>竞价参与者</w:t>
      </w:r>
      <w:r>
        <w:rPr>
          <w:rFonts w:ascii="仿宋_GB2312" w:hAnsi="宋体" w:eastAsia="仿宋_GB2312" w:cs="仿宋_GB2312"/>
          <w:kern w:val="0"/>
          <w:sz w:val="32"/>
          <w:szCs w:val="32"/>
        </w:rPr>
        <w:t>进行资格</w:t>
      </w:r>
      <w:r>
        <w:rPr>
          <w:rFonts w:hint="eastAsia" w:ascii="仿宋_GB2312" w:hAnsi="宋体" w:eastAsia="仿宋_GB2312" w:cs="仿宋_GB2312"/>
          <w:kern w:val="0"/>
          <w:sz w:val="32"/>
          <w:szCs w:val="32"/>
        </w:rPr>
        <w:t>审查</w:t>
      </w:r>
      <w:r>
        <w:rPr>
          <w:rFonts w:ascii="仿宋_GB2312" w:hAnsi="宋体" w:eastAsia="仿宋_GB2312" w:cs="仿宋_GB2312"/>
          <w:kern w:val="0"/>
          <w:sz w:val="32"/>
          <w:szCs w:val="32"/>
        </w:rPr>
        <w:t>。</w:t>
      </w:r>
    </w:p>
    <w:p w14:paraId="5AB1B39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自</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结束2</w:t>
      </w:r>
      <w:r>
        <w:rPr>
          <w:rFonts w:hint="eastAsia" w:ascii="仿宋_GB2312" w:hAnsi="宋体" w:eastAsia="仿宋_GB2312" w:cs="仿宋_GB2312"/>
          <w:kern w:val="0"/>
          <w:sz w:val="32"/>
          <w:szCs w:val="32"/>
          <w:lang w:val="en-US" w:eastAsia="zh-CN"/>
        </w:rPr>
        <w:t>个工作日</w:t>
      </w:r>
      <w:r>
        <w:rPr>
          <w:rFonts w:hint="eastAsia" w:ascii="仿宋_GB2312" w:hAnsi="宋体" w:eastAsia="仿宋_GB2312" w:cs="仿宋_GB2312"/>
          <w:kern w:val="0"/>
          <w:sz w:val="32"/>
          <w:szCs w:val="32"/>
        </w:rPr>
        <w:t>内与销售主体签订合同，并于签订合同之日起3</w:t>
      </w:r>
      <w:r>
        <w:rPr>
          <w:rFonts w:hint="eastAsia" w:ascii="仿宋_GB2312" w:hAnsi="宋体" w:eastAsia="仿宋_GB2312" w:cs="仿宋_GB2312"/>
          <w:kern w:val="0"/>
          <w:sz w:val="32"/>
          <w:szCs w:val="32"/>
          <w:lang w:val="en-US" w:eastAsia="zh-CN"/>
        </w:rPr>
        <w:t>个工作</w:t>
      </w:r>
      <w:r>
        <w:rPr>
          <w:rFonts w:hint="eastAsia" w:ascii="仿宋_GB2312" w:hAnsi="宋体" w:eastAsia="仿宋_GB2312" w:cs="仿宋_GB2312"/>
          <w:kern w:val="0"/>
          <w:sz w:val="32"/>
          <w:szCs w:val="32"/>
        </w:rPr>
        <w:t>日内交齐全部货款，逾期不缴纳者，保证金不予退还，其余按照平台规定执行。签订合同后不履行交款、提货义务的，按合同追究违约责任，销售主体有权取消其今后</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资格并有权扣罚</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保证金。</w:t>
      </w:r>
    </w:p>
    <w:p w14:paraId="4FA8FEC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过程中保证金按照</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规定在平台中冻结，未</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成功者保证金在</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结束后即按照</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规定解冻，</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成功者向销售主体缴纳全部货款后给予解冻。</w:t>
      </w:r>
    </w:p>
    <w:p w14:paraId="7673D43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买方须严格遵守日照公司相关的管理规定，服从现场管理，及时安排车辆发运；以卖方的实际出库的指标、重量为准，不接受由于预估数量差异或货品指标差异或包装差异而产生的任何异议。</w:t>
      </w:r>
    </w:p>
    <w:p w14:paraId="2691249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交货方式：买方自提，提货车辆须为符合山东钢铁集团日照有限公司环保等要求的车辆。车辆匹配现场装车条件，服从现场人员管理，及时清运，保障生产顺行，进厂车辆须保证水箱无水。</w:t>
      </w:r>
    </w:p>
    <w:p w14:paraId="6706106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em w:val="dot"/>
          <w:lang w:val="en-US" w:eastAsia="zh-CN" w:bidi="ar-SA"/>
        </w:rPr>
        <w:t>反向竞价方式</w:t>
      </w:r>
      <w:r>
        <w:rPr>
          <w:rFonts w:hint="eastAsia" w:ascii="仿宋_GB2312" w:hAnsi="宋体" w:eastAsia="仿宋_GB2312" w:cs="仿宋_GB2312"/>
          <w:kern w:val="0"/>
          <w:sz w:val="32"/>
          <w:szCs w:val="32"/>
          <w:lang w:val="en-US" w:eastAsia="zh-CN" w:bidi="ar-SA"/>
        </w:rPr>
        <w:t>：报价最高的买方须按照卖方要求在规定时间内缴纳标的物总货款的5%作为保证金，并签订承诺函（详见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_Ref8462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附件5</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），合同履行完毕且履行阶段无违约的情况下，全额退还所缴纳的保证金，期间不计利息。</w:t>
      </w:r>
    </w:p>
    <w:p w14:paraId="139FC54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em w:val="dot"/>
          <w:lang w:val="en-US" w:eastAsia="zh-CN" w:bidi="ar-SA"/>
        </w:rPr>
        <w:t>公开增价方式</w:t>
      </w:r>
      <w:r>
        <w:rPr>
          <w:rFonts w:hint="eastAsia" w:ascii="仿宋_GB2312" w:hAnsi="宋体" w:eastAsia="仿宋_GB2312" w:cs="仿宋_GB2312"/>
          <w:kern w:val="0"/>
          <w:sz w:val="32"/>
          <w:szCs w:val="32"/>
          <w:lang w:val="en-US" w:eastAsia="zh-CN" w:bidi="ar-SA"/>
        </w:rPr>
        <w:t>：中标者须按照卖方要求在规定时间内缴纳标的物总货款的20%作为预付订金，并签订承诺函（详见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_Ref2418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附件6</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w:t>
      </w:r>
    </w:p>
    <w:p w14:paraId="74077C12">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买方接到卖方的成交通知后，按照卖方要求在规定时间内缴纳足额货款，并按照卖方实际出库过磅重量多退少补。</w:t>
      </w:r>
    </w:p>
    <w:p w14:paraId="13CDEFC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结算方式：按照卖方过磅重量结合成交单价结算。</w:t>
      </w:r>
    </w:p>
    <w:p w14:paraId="0B02BF8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违约：报价最高的买方反悔或未按要求缴纳预付订金/履约保证金时，此次报价将视为无效报价，并取消此次预中标资格，且6个月内禁止参与日照公司固废销售竞卖项目。同一买方累计出现两次上述行为的，永久禁止参与公司竞卖项目。</w:t>
      </w:r>
    </w:p>
    <w:p w14:paraId="66835E42">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买方缴纳预付订金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后，发生下列情况之一的，</w:t>
      </w:r>
      <w:r>
        <w:rPr>
          <w:rFonts w:hint="eastAsia" w:ascii="仿宋_GB2312" w:hAnsi="仿宋" w:eastAsia="仿宋_GB2312" w:cs="宋体"/>
          <w:color w:val="auto"/>
          <w:kern w:val="0"/>
          <w:sz w:val="32"/>
          <w:szCs w:val="32"/>
        </w:rPr>
        <w:t>12个月内禁止</w:t>
      </w:r>
      <w:r>
        <w:rPr>
          <w:rFonts w:hint="eastAsia" w:ascii="仿宋_GB2312" w:hAnsi="仿宋_GB2312" w:eastAsia="仿宋_GB2312" w:cs="仿宋_GB2312"/>
          <w:color w:val="auto"/>
          <w:sz w:val="32"/>
          <w:szCs w:val="32"/>
        </w:rPr>
        <w:t>参与日照公司</w:t>
      </w:r>
      <w:r>
        <w:rPr>
          <w:rFonts w:hint="eastAsia" w:ascii="仿宋_GB2312" w:hAnsi="仿宋_GB2312" w:eastAsia="仿宋_GB2312" w:cs="仿宋_GB2312"/>
          <w:color w:val="auto"/>
          <w:sz w:val="32"/>
          <w:szCs w:val="32"/>
          <w:lang w:val="en-US" w:eastAsia="zh-CN"/>
        </w:rPr>
        <w:t>固废</w:t>
      </w:r>
      <w:r>
        <w:rPr>
          <w:rFonts w:hint="eastAsia" w:ascii="仿宋_GB2312" w:hAnsi="仿宋_GB2312" w:eastAsia="仿宋_GB2312" w:cs="仿宋_GB2312"/>
          <w:color w:val="auto"/>
          <w:sz w:val="32"/>
          <w:szCs w:val="32"/>
        </w:rPr>
        <w:t>销售竞卖项目，并扣除买方缴纳的预付订金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后；买方触犯法律的，</w:t>
      </w:r>
      <w:r>
        <w:rPr>
          <w:rFonts w:hint="eastAsia" w:ascii="仿宋_GB2312" w:hAnsi="仿宋" w:eastAsia="仿宋_GB2312" w:cs="宋体"/>
          <w:color w:val="auto"/>
          <w:kern w:val="0"/>
          <w:sz w:val="32"/>
          <w:szCs w:val="32"/>
        </w:rPr>
        <w:t>将解除合同，永久取消参与日照公司</w:t>
      </w:r>
      <w:r>
        <w:rPr>
          <w:rFonts w:hint="eastAsia" w:ascii="仿宋_GB2312" w:hAnsi="仿宋_GB2312" w:eastAsia="仿宋_GB2312" w:cs="仿宋_GB2312"/>
          <w:color w:val="auto"/>
          <w:sz w:val="32"/>
          <w:szCs w:val="32"/>
        </w:rPr>
        <w:t>竞卖项目的资格，并全额扣除买方缴纳的预付订金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w:t>
      </w:r>
    </w:p>
    <w:p w14:paraId="115A1C8A">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情况：</w:t>
      </w:r>
    </w:p>
    <w:p w14:paraId="2C669062">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a.买方因自身原因不签署合同的；</w:t>
      </w:r>
    </w:p>
    <w:p w14:paraId="2879BE5B">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等线" w:eastAsia="仿宋_GB2312" w:cs="华文楷体"/>
          <w:color w:val="auto"/>
          <w:sz w:val="32"/>
          <w:szCs w:val="32"/>
        </w:rPr>
        <w:t>b.未按照卖方要求缴纳货款的；</w:t>
      </w:r>
    </w:p>
    <w:p w14:paraId="7E23632D">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c.未按照公告、承诺函、已签订合同约定条款执行的；</w:t>
      </w:r>
    </w:p>
    <w:p w14:paraId="2535C206">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d.在生产、经营、环境、安全等方面给卖方造成损失或不良影响的。</w:t>
      </w:r>
    </w:p>
    <w:p w14:paraId="4519789E">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 w:eastAsia="仿宋_GB2312" w:cs="宋体"/>
          <w:color w:val="auto"/>
          <w:kern w:val="0"/>
          <w:sz w:val="32"/>
          <w:szCs w:val="32"/>
        </w:rPr>
        <w:t>买方</w:t>
      </w:r>
      <w:r>
        <w:rPr>
          <w:rFonts w:hint="eastAsia" w:ascii="仿宋_GB2312" w:hAnsi="仿宋_GB2312" w:eastAsia="仿宋_GB2312" w:cs="仿宋_GB2312"/>
          <w:color w:val="auto"/>
          <w:sz w:val="32"/>
          <w:szCs w:val="32"/>
        </w:rPr>
        <w:t>发生违约情况时，影响卖方正常生产，为保障生产需求卖方有权终止合同，并重新组织招标。</w:t>
      </w:r>
    </w:p>
    <w:p w14:paraId="3DD384E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SA"/>
        </w:rPr>
        <w:t>为保护买方权益，卖方对买方信息不予公开。对于成交价格，买方可在竞卖结束之日起七个工作日后电话咨询卖方。</w:t>
      </w:r>
    </w:p>
    <w:p w14:paraId="2B782665">
      <w:pPr>
        <w:pStyle w:val="2"/>
        <w:pageBreakBefore w:val="0"/>
        <w:kinsoku/>
        <w:wordWrap/>
        <w:overflowPunct/>
        <w:topLinePunct w:val="0"/>
        <w:autoSpaceDE/>
        <w:autoSpaceDN/>
        <w:bidi w:val="0"/>
        <w:adjustRightInd/>
        <w:snapToGrid/>
        <w:spacing w:line="560" w:lineRule="exact"/>
      </w:pPr>
      <w:r>
        <w:rPr>
          <w:rFonts w:hint="eastAsia"/>
          <w:lang w:val="en-US" w:eastAsia="zh-CN"/>
        </w:rPr>
        <w:t>踏勘现场、</w:t>
      </w:r>
      <w:r>
        <w:rPr>
          <w:rFonts w:hint="eastAsia"/>
        </w:rPr>
        <w:t>公告发布及</w:t>
      </w:r>
      <w:r>
        <w:rPr>
          <w:rFonts w:hint="eastAsia"/>
          <w:lang w:eastAsia="zh-CN"/>
        </w:rPr>
        <w:t>竞价</w:t>
      </w:r>
      <w:r>
        <w:rPr>
          <w:rFonts w:hint="eastAsia"/>
        </w:rPr>
        <w:t>时间</w:t>
      </w:r>
      <w:r>
        <w:rPr>
          <w:rFonts w:hint="eastAsia"/>
          <w:lang w:eastAsia="zh-CN"/>
        </w:rPr>
        <w:t>（</w:t>
      </w:r>
      <w:r>
        <w:rPr>
          <w:rFonts w:hint="eastAsia"/>
          <w:lang w:val="en-US" w:eastAsia="zh-CN"/>
        </w:rPr>
        <w:t>特别重要！</w:t>
      </w:r>
      <w:r>
        <w:rPr>
          <w:rFonts w:hint="eastAsia"/>
          <w:lang w:eastAsia="zh-CN"/>
        </w:rPr>
        <w:t>）</w:t>
      </w:r>
    </w:p>
    <w:p w14:paraId="39125EB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此公告将在山钢集团招标采购与拍卖管理信息平台与欧冶循环宝平台两个平台同步发布。确保在上述两个平台均注册成功。</w:t>
      </w:r>
    </w:p>
    <w:p w14:paraId="1AA846F3">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踏勘</w:t>
      </w:r>
      <w:r>
        <w:rPr>
          <w:rFonts w:hint="eastAsia" w:ascii="仿宋_GB2312" w:hAnsi="宋体" w:eastAsia="仿宋_GB2312" w:cs="仿宋_GB2312"/>
          <w:kern w:val="0"/>
          <w:sz w:val="32"/>
          <w:szCs w:val="32"/>
          <w:highlight w:val="none"/>
          <w:lang w:val="en-US" w:eastAsia="zh-CN" w:bidi="ar-SA"/>
        </w:rPr>
        <w:t>现场：</w:t>
      </w:r>
      <w:r>
        <w:rPr>
          <w:rFonts w:hint="eastAsia" w:ascii="仿宋_GB2312" w:hAnsi="宋体" w:eastAsia="仿宋_GB2312" w:cs="仿宋_GB2312"/>
          <w:kern w:val="0"/>
          <w:sz w:val="32"/>
          <w:szCs w:val="32"/>
          <w:highlight w:val="yellow"/>
          <w:lang w:val="en-US" w:eastAsia="zh-CN" w:bidi="ar-SA"/>
        </w:rPr>
        <w:t>2025年3月20日14:00，</w:t>
      </w:r>
      <w:r>
        <w:rPr>
          <w:rFonts w:hint="eastAsia" w:ascii="仿宋_GB2312" w:hAnsi="宋体" w:eastAsia="仿宋_GB2312" w:cs="仿宋_GB2312"/>
          <w:kern w:val="0"/>
          <w:sz w:val="32"/>
          <w:szCs w:val="32"/>
          <w:highlight w:val="none"/>
          <w:lang w:val="en-US" w:eastAsia="zh-CN" w:bidi="ar-SA"/>
        </w:rPr>
        <w:t>统一组织现场踏勘。（进厂方法见</w:t>
      </w:r>
      <w:r>
        <w:rPr>
          <w:rFonts w:hint="eastAsia" w:ascii="仿宋_GB2312" w:hAnsi="宋体" w:eastAsia="仿宋_GB2312" w:cs="仿宋_GB2312"/>
          <w:kern w:val="0"/>
          <w:sz w:val="32"/>
          <w:szCs w:val="32"/>
          <w:highlight w:val="none"/>
          <w:lang w:val="en-US" w:eastAsia="zh-CN" w:bidi="ar-SA"/>
        </w:rPr>
        <w:fldChar w:fldCharType="begin"/>
      </w:r>
      <w:r>
        <w:rPr>
          <w:rFonts w:hint="eastAsia" w:ascii="仿宋_GB2312" w:hAnsi="宋体" w:eastAsia="仿宋_GB2312" w:cs="仿宋_GB2312"/>
          <w:kern w:val="0"/>
          <w:sz w:val="32"/>
          <w:szCs w:val="32"/>
          <w:highlight w:val="none"/>
          <w:lang w:val="en-US" w:eastAsia="zh-CN" w:bidi="ar-SA"/>
        </w:rPr>
        <w:instrText xml:space="preserve"> REF _Ref16409 \r \h </w:instrText>
      </w:r>
      <w:r>
        <w:rPr>
          <w:rFonts w:hint="eastAsia" w:ascii="仿宋_GB2312" w:hAnsi="宋体" w:eastAsia="仿宋_GB2312" w:cs="仿宋_GB2312"/>
          <w:kern w:val="0"/>
          <w:sz w:val="32"/>
          <w:szCs w:val="32"/>
          <w:highlight w:val="none"/>
          <w:lang w:val="en-US" w:eastAsia="zh-CN" w:bidi="ar-SA"/>
        </w:rPr>
        <w:fldChar w:fldCharType="separate"/>
      </w:r>
      <w:r>
        <w:rPr>
          <w:rFonts w:hint="eastAsia" w:ascii="仿宋_GB2312" w:hAnsi="宋体" w:eastAsia="仿宋_GB2312" w:cs="仿宋_GB2312"/>
          <w:kern w:val="0"/>
          <w:sz w:val="32"/>
          <w:szCs w:val="32"/>
          <w:highlight w:val="none"/>
          <w:lang w:val="en-US" w:eastAsia="zh-CN" w:bidi="ar-SA"/>
        </w:rPr>
        <w:t>附件2</w:t>
      </w:r>
      <w:r>
        <w:rPr>
          <w:rFonts w:hint="eastAsia" w:ascii="仿宋_GB2312" w:hAnsi="宋体" w:eastAsia="仿宋_GB2312" w:cs="仿宋_GB2312"/>
          <w:kern w:val="0"/>
          <w:sz w:val="32"/>
          <w:szCs w:val="32"/>
          <w:highlight w:val="none"/>
          <w:lang w:val="en-US" w:eastAsia="zh-CN" w:bidi="ar-SA"/>
        </w:rPr>
        <w:fldChar w:fldCharType="end"/>
      </w:r>
      <w:r>
        <w:rPr>
          <w:rFonts w:hint="eastAsia" w:ascii="仿宋_GB2312" w:hAnsi="宋体" w:eastAsia="仿宋_GB2312" w:cs="仿宋_GB2312"/>
          <w:kern w:val="0"/>
          <w:sz w:val="32"/>
          <w:szCs w:val="32"/>
          <w:highlight w:val="none"/>
          <w:lang w:val="en-US" w:eastAsia="zh-CN" w:bidi="ar-SA"/>
        </w:rPr>
        <w:t>，</w:t>
      </w:r>
      <w:r>
        <w:rPr>
          <w:rFonts w:hint="eastAsia" w:ascii="仿宋_GB2312" w:hAnsi="宋体" w:eastAsia="仿宋_GB2312" w:cs="仿宋_GB2312"/>
          <w:kern w:val="0"/>
          <w:sz w:val="32"/>
          <w:szCs w:val="32"/>
          <w:highlight w:val="none"/>
          <w:em w:val="dot"/>
          <w:lang w:val="en-US" w:eastAsia="zh-CN" w:bidi="ar-SA"/>
        </w:rPr>
        <w:t>于前日预约能源环保部（原环境保护部），预约完毕后，第一时间通知销售业务负责人0633-7925565，由其办理审批</w:t>
      </w:r>
      <w:r>
        <w:rPr>
          <w:rFonts w:hint="eastAsia" w:ascii="仿宋_GB2312" w:hAnsi="宋体" w:eastAsia="仿宋_GB2312" w:cs="仿宋_GB2312"/>
          <w:kern w:val="0"/>
          <w:sz w:val="32"/>
          <w:szCs w:val="32"/>
          <w:highlight w:val="none"/>
          <w:lang w:val="en-US" w:eastAsia="zh-CN" w:bidi="ar-SA"/>
        </w:rPr>
        <w:t>）。自备取样工具。特别提醒，后备箱等车内不要带其他无相关物资。</w:t>
      </w:r>
    </w:p>
    <w:p w14:paraId="69C0EC0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资格审查时间：</w:t>
      </w:r>
      <w:r>
        <w:rPr>
          <w:rFonts w:hint="eastAsia" w:ascii="仿宋_GB2312" w:hAnsi="宋体" w:eastAsia="仿宋_GB2312" w:cs="仿宋_GB2312"/>
          <w:kern w:val="0"/>
          <w:sz w:val="32"/>
          <w:szCs w:val="32"/>
          <w:highlight w:val="yellow"/>
          <w:lang w:val="en-US" w:eastAsia="zh-CN"/>
        </w:rPr>
        <w:t>2025年3月21日14:00（以系统网站时间为准）</w:t>
      </w:r>
      <w:r>
        <w:rPr>
          <w:rFonts w:hint="eastAsia" w:ascii="仿宋_GB2312" w:hAnsi="宋体" w:eastAsia="仿宋_GB2312" w:cs="仿宋_GB2312"/>
          <w:kern w:val="0"/>
          <w:sz w:val="32"/>
          <w:szCs w:val="32"/>
          <w:highlight w:val="none"/>
          <w:lang w:val="en-US" w:eastAsia="zh-CN"/>
        </w:rPr>
        <w:t>。请务必于该时间点前，在山钢招标采购平台（网址：</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HYPERLINK "http://bams.shansteelgroup.com/Suppliers/Default.aspx"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http://bams.shansteelgroup.com/Suppliers/Default.aspx</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），注册、上传公告要求文件，</w:t>
      </w:r>
      <w:r>
        <w:rPr>
          <w:rFonts w:hint="eastAsia" w:ascii="仿宋_GB2312" w:hAnsi="宋体" w:eastAsia="仿宋_GB2312" w:cs="仿宋_GB2312"/>
          <w:kern w:val="0"/>
          <w:sz w:val="32"/>
          <w:szCs w:val="32"/>
          <w:highlight w:val="none"/>
          <w:em w:val="dot"/>
          <w:lang w:val="en-US" w:eastAsia="zh-CN"/>
        </w:rPr>
        <w:t>报名、报价</w:t>
      </w:r>
      <w:r>
        <w:rPr>
          <w:rFonts w:hint="eastAsia" w:ascii="仿宋_GB2312" w:hAnsi="宋体" w:eastAsia="仿宋_GB2312" w:cs="仿宋_GB2312"/>
          <w:kern w:val="0"/>
          <w:sz w:val="32"/>
          <w:szCs w:val="32"/>
          <w:highlight w:val="none"/>
          <w:lang w:val="en-US" w:eastAsia="zh-CN"/>
        </w:rPr>
        <w:t>（操作指南见</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REF _Ref149 \r \h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附件4</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）。建议本次各包报价均填写1元/吨。该平台报价不作为最终竞价，只作为资格审查前的象征性报价。该时间截止后，再行更改上传资质视为无效。</w:t>
      </w:r>
    </w:p>
    <w:p w14:paraId="51A50CF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资质文件：营业执照（税务登记证合二为一）、危废许可证、授权委托书、本标相关的生产工艺流程等材料。须加盖公章扫描上传。</w:t>
      </w:r>
    </w:p>
    <w:p w14:paraId="5E0D649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正式</w:t>
      </w:r>
      <w:r>
        <w:rPr>
          <w:rFonts w:hint="eastAsia" w:ascii="仿宋_GB2312" w:hAnsi="宋体" w:eastAsia="仿宋_GB2312" w:cs="仿宋_GB2312"/>
          <w:kern w:val="0"/>
          <w:sz w:val="32"/>
          <w:szCs w:val="32"/>
          <w:highlight w:val="none"/>
          <w:lang w:eastAsia="zh-CN"/>
        </w:rPr>
        <w:t>竞价</w:t>
      </w:r>
      <w:r>
        <w:rPr>
          <w:rFonts w:hint="eastAsia" w:ascii="仿宋_GB2312" w:hAnsi="宋体" w:eastAsia="仿宋_GB2312" w:cs="仿宋_GB2312"/>
          <w:kern w:val="0"/>
          <w:sz w:val="32"/>
          <w:szCs w:val="32"/>
          <w:highlight w:val="none"/>
        </w:rPr>
        <w:t>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开标时间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yellow"/>
          <w:lang w:val="en-US" w:eastAsia="zh-CN"/>
        </w:rPr>
        <w:t>2025年3月25日14:00-15:00（以系统网站时间为准）。</w:t>
      </w:r>
      <w:r>
        <w:rPr>
          <w:rFonts w:hint="eastAsia" w:ascii="仿宋_GB2312" w:hAnsi="宋体" w:eastAsia="仿宋_GB2312" w:cs="仿宋_GB2312"/>
          <w:kern w:val="0"/>
          <w:sz w:val="32"/>
          <w:szCs w:val="32"/>
          <w:highlight w:val="none"/>
          <w:lang w:val="en-US" w:eastAsia="zh-CN"/>
        </w:rPr>
        <w:t>资格预审合格后，及时关注循环宝平台发布的正式销售竞价公告。请于该时间段前，在欧冶循环宝平台（网址：https://www.ouyeel.com/search-ng/exchange/home），完成注册、竞价等。按照循环宝平台规则，</w:t>
      </w:r>
      <w:r>
        <w:rPr>
          <w:rFonts w:hint="eastAsia" w:ascii="仿宋_GB2312" w:hAnsi="宋体" w:eastAsia="仿宋_GB2312" w:cs="仿宋_GB2312"/>
          <w:kern w:val="0"/>
          <w:sz w:val="32"/>
          <w:szCs w:val="32"/>
          <w:highlight w:val="none"/>
          <w:em w:val="dot"/>
          <w:lang w:val="en-US" w:eastAsia="zh-CN"/>
        </w:rPr>
        <w:t>竞价前需要向循环宝平台缴纳投标保证金</w:t>
      </w:r>
      <w:r>
        <w:rPr>
          <w:rFonts w:hint="eastAsia" w:ascii="仿宋_GB2312" w:hAnsi="宋体" w:eastAsia="仿宋_GB2312" w:cs="仿宋_GB2312"/>
          <w:kern w:val="0"/>
          <w:sz w:val="32"/>
          <w:szCs w:val="32"/>
          <w:highlight w:val="none"/>
          <w:lang w:val="en-US" w:eastAsia="zh-CN"/>
        </w:rPr>
        <w:t>，请提前办理。</w:t>
      </w:r>
    </w:p>
    <w:p w14:paraId="01D401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仿宋_GB2312" w:hAnsi="宋体" w:eastAsia="仿宋_GB2312" w:cs="仿宋_GB2312"/>
          <w:kern w:val="0"/>
          <w:sz w:val="32"/>
          <w:szCs w:val="32"/>
          <w:highlight w:val="none"/>
        </w:rPr>
      </w:pPr>
      <w:r>
        <w:rPr>
          <w:rFonts w:ascii="仿宋_GB2312" w:hAnsi="宋体" w:eastAsia="仿宋_GB2312" w:cs="仿宋_GB2312"/>
          <w:kern w:val="0"/>
          <w:sz w:val="32"/>
          <w:szCs w:val="32"/>
          <w:highlight w:val="none"/>
        </w:rPr>
        <w:drawing>
          <wp:inline distT="0" distB="0" distL="114300" distR="114300">
            <wp:extent cx="6644640" cy="1060450"/>
            <wp:effectExtent l="0" t="0" r="10160" b="6350"/>
            <wp:docPr id="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6"/>
                    <pic:cNvPicPr>
                      <a:picLocks noChangeAspect="1"/>
                    </pic:cNvPicPr>
                  </pic:nvPicPr>
                  <pic:blipFill>
                    <a:blip r:embed="rId11"/>
                    <a:stretch>
                      <a:fillRect/>
                    </a:stretch>
                  </pic:blipFill>
                  <pic:spPr>
                    <a:xfrm>
                      <a:off x="0" y="0"/>
                      <a:ext cx="6644640" cy="1060450"/>
                    </a:xfrm>
                    <a:prstGeom prst="rect">
                      <a:avLst/>
                    </a:prstGeom>
                    <a:noFill/>
                    <a:ln>
                      <a:noFill/>
                    </a:ln>
                  </pic:spPr>
                </pic:pic>
              </a:graphicData>
            </a:graphic>
          </wp:inline>
        </w:drawing>
      </w:r>
    </w:p>
    <w:p w14:paraId="3DFC1014">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val="en-US" w:eastAsia="zh-CN"/>
        </w:rPr>
        <w:t>循环宝竞价流程</w:t>
      </w:r>
    </w:p>
    <w:p w14:paraId="4CFAF19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只有在山钢招标采购平台网上正确完成填报价格，才具备资质审核前提。只有资质审核通过，才具备在欧冶循环宝平台竞价的前提，请务必在两个平台提前注册，并完成上述两个平台的相应工作。</w:t>
      </w:r>
    </w:p>
    <w:p w14:paraId="02E8374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资格审查后，请关注循环宝正式公告的发布。</w:t>
      </w:r>
    </w:p>
    <w:p w14:paraId="3AE64126">
      <w:pPr>
        <w:pStyle w:val="2"/>
        <w:pageBreakBefore w:val="0"/>
        <w:kinsoku/>
        <w:wordWrap/>
        <w:overflowPunct/>
        <w:topLinePunct w:val="0"/>
        <w:autoSpaceDE/>
        <w:autoSpaceDN/>
        <w:bidi w:val="0"/>
        <w:adjustRightInd/>
        <w:snapToGrid/>
        <w:spacing w:line="560" w:lineRule="exact"/>
        <w:rPr>
          <w:rFonts w:ascii="黑体" w:hAnsi="黑体" w:eastAsia="黑体" w:cs="黑体"/>
          <w:b/>
          <w:bCs/>
          <w:kern w:val="0"/>
          <w:sz w:val="32"/>
          <w:szCs w:val="32"/>
        </w:rPr>
      </w:pPr>
      <w:r>
        <w:rPr>
          <w:rFonts w:hint="eastAsia" w:ascii="黑体" w:hAnsi="黑体" w:eastAsia="黑体" w:cs="黑体"/>
          <w:b w:val="0"/>
          <w:bCs w:val="0"/>
          <w:kern w:val="0"/>
          <w:sz w:val="32"/>
          <w:szCs w:val="32"/>
        </w:rPr>
        <w:t>销售主体联系人及联系电话</w:t>
      </w:r>
    </w:p>
    <w:p w14:paraId="0662C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auto"/>
          <w:kern w:val="0"/>
          <w:sz w:val="32"/>
          <w:szCs w:val="32"/>
          <w:lang w:val="en-US" w:eastAsia="zh-CN"/>
        </w:rPr>
      </w:pPr>
      <w:r>
        <w:rPr>
          <w:rFonts w:hint="eastAsia" w:ascii="仿宋_GB2312" w:hAnsi="宋体" w:eastAsia="仿宋_GB2312" w:cs="仿宋_GB2312"/>
          <w:color w:val="auto"/>
          <w:kern w:val="0"/>
          <w:sz w:val="32"/>
          <w:szCs w:val="32"/>
          <w:lang w:val="en-US" w:eastAsia="zh-CN"/>
        </w:rPr>
        <w:t>魏</w:t>
      </w:r>
      <w:r>
        <w:rPr>
          <w:rFonts w:hint="eastAsia" w:ascii="仿宋_GB2312" w:hAnsi="宋体" w:eastAsia="仿宋_GB2312" w:cs="仿宋_GB2312"/>
          <w:color w:val="auto"/>
          <w:kern w:val="0"/>
          <w:sz w:val="32"/>
          <w:szCs w:val="32"/>
        </w:rPr>
        <w:t>经理：</w:t>
      </w:r>
      <w:r>
        <w:rPr>
          <w:rFonts w:ascii="仿宋_GB2312" w:hAnsi="宋体" w:eastAsia="仿宋_GB2312" w:cs="仿宋_GB2312"/>
          <w:color w:val="auto"/>
          <w:kern w:val="0"/>
          <w:sz w:val="32"/>
          <w:szCs w:val="32"/>
        </w:rPr>
        <w:t>0</w:t>
      </w:r>
      <w:r>
        <w:rPr>
          <w:rFonts w:hint="eastAsia" w:ascii="仿宋_GB2312" w:hAnsi="宋体" w:eastAsia="仿宋_GB2312" w:cs="仿宋_GB2312"/>
          <w:color w:val="auto"/>
          <w:kern w:val="0"/>
          <w:sz w:val="32"/>
          <w:szCs w:val="32"/>
        </w:rPr>
        <w:t>633-792</w:t>
      </w:r>
      <w:r>
        <w:rPr>
          <w:rFonts w:hint="eastAsia" w:ascii="仿宋_GB2312" w:hAnsi="宋体" w:eastAsia="仿宋_GB2312" w:cs="仿宋_GB2312"/>
          <w:color w:val="auto"/>
          <w:kern w:val="0"/>
          <w:sz w:val="32"/>
          <w:szCs w:val="32"/>
          <w:lang w:val="en-US" w:eastAsia="zh-CN"/>
        </w:rPr>
        <w:t>5565</w:t>
      </w:r>
    </w:p>
    <w:p w14:paraId="28424395">
      <w:pPr>
        <w:pStyle w:val="2"/>
        <w:pageBreakBefore w:val="0"/>
        <w:kinsoku/>
        <w:wordWrap/>
        <w:overflowPunct/>
        <w:topLinePunct w:val="0"/>
        <w:autoSpaceDE/>
        <w:autoSpaceDN/>
        <w:bidi w:val="0"/>
        <w:adjustRightInd/>
        <w:snapToGrid/>
        <w:spacing w:line="560" w:lineRule="exact"/>
      </w:pPr>
      <w:r>
        <w:rPr>
          <w:rFonts w:hint="eastAsia"/>
        </w:rPr>
        <w:t>本次公告发布范围</w:t>
      </w:r>
    </w:p>
    <w:p w14:paraId="50425325">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宋体" w:eastAsia="仿宋_GB2312" w:cs="仿宋_GB2312"/>
          <w:color w:val="000000"/>
          <w:spacing w:val="-6"/>
          <w:kern w:val="0"/>
          <w:sz w:val="32"/>
          <w:szCs w:val="32"/>
        </w:rPr>
      </w:pPr>
      <w:r>
        <w:rPr>
          <w:rFonts w:hint="eastAsia" w:ascii="仿宋_GB2312" w:hAnsi="宋体" w:eastAsia="仿宋_GB2312" w:cs="仿宋_GB2312"/>
          <w:spacing w:val="-6"/>
          <w:kern w:val="0"/>
          <w:sz w:val="32"/>
          <w:szCs w:val="32"/>
          <w:lang w:val="en-US" w:eastAsia="zh-CN"/>
        </w:rPr>
        <w:t>循环宝</w:t>
      </w:r>
      <w:r>
        <w:rPr>
          <w:rFonts w:hint="eastAsia" w:ascii="仿宋_GB2312" w:hAnsi="宋体" w:eastAsia="仿宋_GB2312" w:cs="仿宋_GB2312"/>
          <w:color w:val="000000"/>
          <w:spacing w:val="-6"/>
          <w:kern w:val="0"/>
          <w:sz w:val="32"/>
          <w:szCs w:val="32"/>
        </w:rPr>
        <w:t>https://www.ouyeel.com/search-ng/exchange/home</w:t>
      </w:r>
    </w:p>
    <w:p w14:paraId="00ABF587">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rPr>
      </w:pPr>
    </w:p>
    <w:p w14:paraId="77265EFA">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山钢集团日照有限公司</w:t>
      </w:r>
    </w:p>
    <w:p w14:paraId="26E11AF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eastAsia="zh-CN"/>
        </w:rPr>
        <w:t>2025</w:t>
      </w:r>
      <w:r>
        <w:rPr>
          <w:rFonts w:hint="eastAsia" w:ascii="仿宋_GB2312" w:hAnsi="宋体" w:eastAsia="仿宋_GB2312" w:cs="仿宋_GB2312"/>
          <w:kern w:val="0"/>
          <w:sz w:val="32"/>
          <w:szCs w:val="32"/>
          <w:highlight w:val="none"/>
        </w:rPr>
        <w:t>年</w:t>
      </w:r>
      <w:r>
        <w:rPr>
          <w:rFonts w:hint="eastAsia" w:ascii="仿宋_GB2312" w:hAnsi="宋体" w:eastAsia="仿宋_GB2312" w:cs="仿宋_GB2312"/>
          <w:kern w:val="0"/>
          <w:sz w:val="32"/>
          <w:szCs w:val="32"/>
          <w:highlight w:val="none"/>
          <w:lang w:val="en-US" w:eastAsia="zh-CN"/>
        </w:rPr>
        <w:t>3</w:t>
      </w:r>
      <w:r>
        <w:rPr>
          <w:rFonts w:hint="eastAsia" w:ascii="仿宋_GB2312" w:hAnsi="宋体" w:eastAsia="仿宋_GB2312" w:cs="仿宋_GB2312"/>
          <w:kern w:val="0"/>
          <w:sz w:val="32"/>
          <w:szCs w:val="32"/>
          <w:highlight w:val="none"/>
        </w:rPr>
        <w:t>月</w:t>
      </w:r>
      <w:r>
        <w:rPr>
          <w:rFonts w:hint="eastAsia" w:ascii="仿宋_GB2312" w:hAnsi="宋体" w:eastAsia="仿宋_GB2312" w:cs="仿宋_GB2312"/>
          <w:kern w:val="0"/>
          <w:sz w:val="32"/>
          <w:szCs w:val="32"/>
          <w:highlight w:val="none"/>
          <w:lang w:val="en-US" w:eastAsia="zh-CN"/>
        </w:rPr>
        <w:t>12</w:t>
      </w:r>
      <w:r>
        <w:rPr>
          <w:rFonts w:hint="eastAsia" w:ascii="仿宋_GB2312" w:hAnsi="宋体" w:eastAsia="仿宋_GB2312" w:cs="仿宋_GB2312"/>
          <w:kern w:val="0"/>
          <w:sz w:val="32"/>
          <w:szCs w:val="32"/>
          <w:highlight w:val="none"/>
        </w:rPr>
        <w:t>日</w:t>
      </w:r>
    </w:p>
    <w:p w14:paraId="054BC70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p>
    <w:p w14:paraId="1E961593">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sectPr>
          <w:headerReference r:id="rId3" w:type="default"/>
          <w:footerReference r:id="rId4" w:type="default"/>
          <w:pgSz w:w="11906" w:h="16838"/>
          <w:pgMar w:top="720" w:right="720" w:bottom="720" w:left="720" w:header="851" w:footer="992" w:gutter="0"/>
          <w:pgNumType w:fmt="decimal"/>
          <w:cols w:space="720" w:num="1"/>
          <w:docGrid w:type="lines" w:linePitch="312" w:charSpace="0"/>
        </w:sectPr>
      </w:pPr>
    </w:p>
    <w:p w14:paraId="1021DEC2">
      <w:pPr>
        <w:pStyle w:val="28"/>
        <w:bidi w:val="0"/>
        <w:ind w:left="0" w:leftChars="0" w:firstLine="420" w:firstLineChars="0"/>
        <w:rPr>
          <w:rFonts w:hint="default"/>
          <w:lang w:val="en-US" w:eastAsia="zh-CN"/>
        </w:rPr>
      </w:pPr>
      <w:bookmarkStart w:id="1" w:name="_Ref12228"/>
      <w:r>
        <w:rPr>
          <w:rFonts w:hint="default"/>
          <w:lang w:val="en-US" w:eastAsia="zh-CN"/>
        </w:rPr>
        <w:t>各</w:t>
      </w:r>
      <w:r>
        <w:rPr>
          <w:rFonts w:hint="eastAsia"/>
          <w:lang w:val="en-US" w:eastAsia="zh-CN"/>
        </w:rPr>
        <w:t>账户信息</w:t>
      </w:r>
    </w:p>
    <w:p w14:paraId="283DE28E">
      <w:pPr>
        <w:rPr>
          <w:rFonts w:hint="default"/>
          <w:lang w:val="en-US" w:eastAsia="zh-CN"/>
        </w:rPr>
      </w:pPr>
    </w:p>
    <w:p w14:paraId="551C5A5D">
      <w:pPr>
        <w:pStyle w:val="3"/>
        <w:bidi w:val="0"/>
        <w:rPr>
          <w:rFonts w:hint="eastAsia"/>
          <w:lang w:val="en-US" w:eastAsia="zh-CN"/>
        </w:rPr>
      </w:pPr>
      <w:r>
        <w:rPr>
          <w:rFonts w:hint="eastAsia"/>
          <w:lang w:val="en-US" w:eastAsia="zh-CN"/>
        </w:rPr>
        <w:t>公开增价（买方付款）模式下的预付订金及货款账户信息：</w:t>
      </w:r>
    </w:p>
    <w:p w14:paraId="0ECC9E3E">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账户名称：山东钢铁集团日照有限公司</w:t>
      </w:r>
    </w:p>
    <w:p w14:paraId="02176F45">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开户行：</w:t>
      </w:r>
      <w:r>
        <w:rPr>
          <w:rFonts w:hint="default" w:asciiTheme="minorEastAsia" w:hAnsiTheme="minorEastAsia" w:eastAsiaTheme="minorEastAsia" w:cstheme="minorEastAsia"/>
          <w:kern w:val="0"/>
          <w:sz w:val="28"/>
          <w:szCs w:val="28"/>
          <w:lang w:val="en-US" w:eastAsia="zh-CN" w:bidi="ar-SA"/>
        </w:rPr>
        <w:t>中国农业银行日照岚山支行</w:t>
      </w:r>
    </w:p>
    <w:p w14:paraId="697D58E8">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账号：</w:t>
      </w:r>
      <w:r>
        <w:rPr>
          <w:rFonts w:hint="default" w:asciiTheme="minorEastAsia" w:hAnsiTheme="minorEastAsia" w:eastAsiaTheme="minorEastAsia" w:cstheme="minorEastAsia"/>
          <w:kern w:val="0"/>
          <w:sz w:val="28"/>
          <w:szCs w:val="28"/>
          <w:lang w:val="en-US" w:eastAsia="zh-CN" w:bidi="ar-SA"/>
        </w:rPr>
        <w:t>15641101040014582</w:t>
      </w:r>
    </w:p>
    <w:p w14:paraId="0B339CB9">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开户行编号：</w:t>
      </w:r>
      <w:r>
        <w:rPr>
          <w:rFonts w:hint="default" w:asciiTheme="minorEastAsia" w:hAnsiTheme="minorEastAsia" w:eastAsiaTheme="minorEastAsia" w:cstheme="minorEastAsia"/>
          <w:kern w:val="0"/>
          <w:sz w:val="28"/>
          <w:szCs w:val="28"/>
          <w:lang w:val="en-US" w:eastAsia="zh-CN" w:bidi="ar-SA"/>
        </w:rPr>
        <w:t>103473264114</w:t>
      </w:r>
    </w:p>
    <w:p w14:paraId="2ABE7AE3">
      <w:pPr>
        <w:pStyle w:val="3"/>
        <w:bidi w:val="0"/>
        <w:ind w:left="0" w:firstLine="0"/>
        <w:rPr>
          <w:rFonts w:hint="eastAsia" w:asciiTheme="minorEastAsia" w:hAnsiTheme="minorEastAsia" w:eastAsiaTheme="minorEastAsia" w:cstheme="minorEastAsia"/>
          <w:color w:val="000000"/>
          <w:kern w:val="0"/>
          <w:sz w:val="28"/>
          <w:szCs w:val="28"/>
          <w:lang w:val="en-US" w:eastAsia="zh-CN" w:bidi="ar-SA"/>
        </w:rPr>
      </w:pPr>
      <w:r>
        <w:rPr>
          <w:rFonts w:hint="eastAsia"/>
          <w:lang w:val="en-US" w:eastAsia="zh-CN"/>
        </w:rPr>
        <w:t>反向竞价（卖方付款）模式下的履约保障金及账户信息：</w:t>
      </w:r>
    </w:p>
    <w:p w14:paraId="751E68DF">
      <w:pPr>
        <w:pStyle w:val="4"/>
        <w:bidi w:val="0"/>
        <w:rPr>
          <w:rFonts w:hint="eastAsia"/>
          <w:lang w:val="en-US" w:eastAsia="zh-CN"/>
        </w:rPr>
      </w:pPr>
      <w:r>
        <w:rPr>
          <w:rFonts w:hint="eastAsia"/>
          <w:lang w:val="en-US" w:eastAsia="zh-CN"/>
        </w:rPr>
        <w:t>履约保证金账户：</w:t>
      </w:r>
    </w:p>
    <w:p w14:paraId="284442B5">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开户银行：中国农业银行日照分行</w:t>
      </w:r>
    </w:p>
    <w:p w14:paraId="2966F2D1">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收款人：山东钢铁集团日照有限公司</w:t>
      </w:r>
    </w:p>
    <w:p w14:paraId="7DF446AE">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账号：15651001040040990</w:t>
      </w:r>
    </w:p>
    <w:p w14:paraId="619201E4">
      <w:pPr>
        <w:pStyle w:val="4"/>
        <w:bidi w:val="0"/>
        <w:rPr>
          <w:rFonts w:hint="eastAsia"/>
          <w:lang w:val="en-US" w:eastAsia="zh-CN"/>
        </w:rPr>
      </w:pPr>
      <w:r>
        <w:rPr>
          <w:rFonts w:hint="eastAsia"/>
          <w:lang w:val="en-US" w:eastAsia="zh-CN"/>
        </w:rPr>
        <w:t>开票信息：</w:t>
      </w:r>
    </w:p>
    <w:p w14:paraId="3796F498">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企业名称：山东钢铁集团日照有限公司</w:t>
      </w:r>
    </w:p>
    <w:p w14:paraId="0C0A6D2F">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纳税人识别号：91370000685900369J</w:t>
      </w:r>
    </w:p>
    <w:p w14:paraId="24CA11E7">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地址、电话：山东省日照市东港区临钢路1号；0633-7920226</w:t>
      </w:r>
    </w:p>
    <w:p w14:paraId="452B1C8A">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shd w:val="clear" w:color="auto" w:fill="FFFFFF"/>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开户行及账号：中国建设银行股份有限公司日照分行营业部</w:t>
      </w:r>
    </w:p>
    <w:p w14:paraId="100EA1ED">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账号：37001718808059677777</w:t>
      </w:r>
    </w:p>
    <w:p w14:paraId="0D658C5A">
      <w:pPr>
        <w:keepNext w:val="0"/>
        <w:keepLines w:val="0"/>
        <w:pageBreakBefore w:val="0"/>
        <w:widowControl w:val="0"/>
        <w:kinsoku/>
        <w:wordWrap/>
        <w:overflowPunct/>
        <w:topLinePunct w:val="0"/>
        <w:autoSpaceDE/>
        <w:autoSpaceDN/>
        <w:bidi w:val="0"/>
        <w:adjustRightInd/>
        <w:spacing w:line="520" w:lineRule="exact"/>
        <w:textAlignment w:val="auto"/>
        <w:rPr>
          <w:rFonts w:hint="default" w:ascii="仿宋_GB2312" w:hAnsi="宋体" w:eastAsia="仿宋_GB2312" w:cs="仿宋_GB2312"/>
          <w:color w:val="auto"/>
          <w:kern w:val="0"/>
          <w:sz w:val="32"/>
          <w:szCs w:val="32"/>
          <w:lang w:val="en-US" w:eastAsia="zh-CN"/>
        </w:rPr>
      </w:pPr>
    </w:p>
    <w:p w14:paraId="13E95848">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宋体" w:eastAsia="仿宋_GB2312" w:cs="仿宋_GB2312"/>
          <w:color w:val="auto"/>
          <w:kern w:val="0"/>
          <w:sz w:val="32"/>
          <w:szCs w:val="32"/>
          <w:lang w:val="en-US" w:eastAsia="zh-CN"/>
        </w:rPr>
      </w:pPr>
    </w:p>
    <w:p w14:paraId="5A00F19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宋体" w:eastAsia="仿宋_GB2312" w:cs="仿宋_GB2312"/>
          <w:color w:val="auto"/>
          <w:kern w:val="0"/>
          <w:sz w:val="32"/>
          <w:szCs w:val="32"/>
          <w:lang w:val="en-US" w:eastAsia="zh-CN"/>
        </w:rPr>
        <w:sectPr>
          <w:headerReference r:id="rId5" w:type="default"/>
          <w:pgSz w:w="11906" w:h="16838"/>
          <w:pgMar w:top="720" w:right="720" w:bottom="720" w:left="720" w:header="851" w:footer="992" w:gutter="0"/>
          <w:pgNumType w:fmt="decimal"/>
          <w:cols w:space="720" w:num="1"/>
          <w:docGrid w:type="lines" w:linePitch="312" w:charSpace="0"/>
        </w:sectPr>
      </w:pPr>
    </w:p>
    <w:p w14:paraId="607083F8">
      <w:pPr>
        <w:pStyle w:val="28"/>
        <w:bidi w:val="0"/>
        <w:ind w:left="0" w:leftChars="0" w:firstLine="420" w:firstLineChars="0"/>
        <w:rPr>
          <w:rFonts w:hint="default"/>
          <w:lang w:val="en-US" w:eastAsia="zh-CN"/>
        </w:rPr>
      </w:pPr>
      <w:bookmarkStart w:id="2" w:name="_Ref16409"/>
      <w:r>
        <w:rPr>
          <w:rFonts w:hint="eastAsia"/>
          <w:lang w:val="en-US" w:eastAsia="zh-CN"/>
        </w:rPr>
        <w:t>预约进厂方法及地点</w:t>
      </w:r>
      <w:bookmarkEnd w:id="1"/>
      <w:bookmarkEnd w:id="2"/>
    </w:p>
    <w:p w14:paraId="0A8789E0">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r>
        <w:rPr>
          <w:rFonts w:hint="eastAsia" w:ascii="Arial" w:hAnsi="Arial" w:eastAsia="宋体" w:cs="宋体"/>
          <w:sz w:val="28"/>
          <w:szCs w:val="22"/>
          <w:lang w:val="en-US" w:eastAsia="zh-CN" w:bidi="ar-SA"/>
        </w:rPr>
        <w:t>约小车（就是您的小客车，想进厂办公）</w:t>
      </w:r>
    </w:p>
    <w:p w14:paraId="577FD759">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在手机微信搜索，“山钢日照公司进出厂”进厂小程序，按部就班填写，接访单位选填“</w:t>
      </w:r>
      <w:r>
        <w:rPr>
          <w:rFonts w:hint="eastAsia" w:ascii="宋体" w:hAnsi="宋体" w:eastAsia="宋体" w:cs="宋体"/>
          <w:sz w:val="28"/>
          <w:szCs w:val="22"/>
          <w:em w:val="dot"/>
          <w:lang w:val="en-US" w:eastAsia="zh-CN" w:bidi="ar-SA"/>
        </w:rPr>
        <w:t>能源环保部（原环境保护部）</w:t>
      </w:r>
      <w:r>
        <w:rPr>
          <w:rFonts w:hint="eastAsia" w:ascii="宋体" w:hAnsi="宋体" w:eastAsia="宋体" w:cs="宋体"/>
          <w:sz w:val="28"/>
          <w:szCs w:val="22"/>
          <w:lang w:val="en-US" w:eastAsia="zh-CN" w:bidi="ar-SA"/>
        </w:rPr>
        <w:t>”、进门选填“</w:t>
      </w:r>
      <w:r>
        <w:rPr>
          <w:rFonts w:hint="eastAsia" w:ascii="宋体" w:hAnsi="宋体" w:eastAsia="宋体" w:cs="宋体"/>
          <w:sz w:val="28"/>
          <w:szCs w:val="22"/>
          <w:em w:val="dot"/>
          <w:lang w:val="en-US" w:eastAsia="zh-CN" w:bidi="ar-SA"/>
        </w:rPr>
        <w:t>1号门</w:t>
      </w:r>
      <w:r>
        <w:rPr>
          <w:rFonts w:hint="eastAsia" w:ascii="宋体" w:hAnsi="宋体" w:eastAsia="宋体" w:cs="宋体"/>
          <w:sz w:val="28"/>
          <w:szCs w:val="22"/>
          <w:lang w:val="en-US" w:eastAsia="zh-CN" w:bidi="ar-SA"/>
        </w:rPr>
        <w:t>”，提交。图片为行驶证图片，不是您的车照片。上传照片一定要清楚、周正、文件大小</w:t>
      </w:r>
      <w:r>
        <w:rPr>
          <w:rFonts w:hint="eastAsia" w:ascii="宋体" w:hAnsi="宋体" w:eastAsia="宋体" w:cs="宋体"/>
          <w:sz w:val="28"/>
          <w:szCs w:val="22"/>
          <w:em w:val="dot"/>
          <w:lang w:val="en-US" w:eastAsia="zh-CN" w:bidi="ar-SA"/>
        </w:rPr>
        <w:t>务必小于1M</w:t>
      </w:r>
      <w:r>
        <w:rPr>
          <w:rFonts w:hint="eastAsia" w:ascii="宋体" w:hAnsi="宋体" w:eastAsia="宋体" w:cs="宋体"/>
          <w:sz w:val="28"/>
          <w:szCs w:val="22"/>
          <w:lang w:val="en-US" w:eastAsia="zh-CN" w:bidi="ar-SA"/>
        </w:rPr>
        <w:t>，以便顺利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（提交不上的原因基本只有一个，就是图片太大！）</w:t>
      </w:r>
    </w:p>
    <w:p w14:paraId="6B78A8E3">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现在手机普遍拍摄像素高，可以采用</w:t>
      </w:r>
      <w:r>
        <w:rPr>
          <w:rFonts w:hint="eastAsia" w:ascii="宋体" w:hAnsi="宋体" w:eastAsia="宋体" w:cs="宋体"/>
          <w:sz w:val="28"/>
          <w:szCs w:val="22"/>
          <w:em w:val="dot"/>
          <w:lang w:val="en-US" w:eastAsia="zh-CN" w:bidi="ar-SA"/>
        </w:rPr>
        <w:t>拍摄后再手机截图</w:t>
      </w:r>
      <w:r>
        <w:rPr>
          <w:rFonts w:hint="eastAsia" w:ascii="宋体" w:hAnsi="宋体" w:eastAsia="宋体" w:cs="宋体"/>
          <w:sz w:val="28"/>
          <w:szCs w:val="22"/>
          <w:lang w:val="en-US" w:eastAsia="zh-CN" w:bidi="ar-SA"/>
        </w:rPr>
        <w:t>的方式，快递降低文件大小。</w:t>
      </w:r>
    </w:p>
    <w:p w14:paraId="6047D3B2">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按下面说法，通知业务负责人，请其审批；</w:t>
      </w:r>
      <w:r>
        <w:rPr>
          <w:rFonts w:hint="eastAsia" w:ascii="宋体" w:hAnsi="宋体" w:cs="宋体"/>
          <w:sz w:val="28"/>
          <w:szCs w:val="22"/>
          <w:lang w:val="en-US" w:eastAsia="zh-CN" w:bidi="ar-SA"/>
        </w:rPr>
        <w:t>预约</w:t>
      </w:r>
      <w:r>
        <w:rPr>
          <w:rFonts w:hint="eastAsia" w:ascii="宋体" w:hAnsi="宋体" w:eastAsia="宋体" w:cs="宋体"/>
          <w:sz w:val="28"/>
          <w:szCs w:val="22"/>
          <w:lang w:val="en-US" w:eastAsia="zh-CN" w:bidi="ar-SA"/>
        </w:rPr>
        <w:t>手机</w:t>
      </w:r>
      <w:r>
        <w:rPr>
          <w:rFonts w:hint="eastAsia" w:ascii="宋体" w:hAnsi="宋体" w:cs="宋体"/>
          <w:sz w:val="28"/>
          <w:szCs w:val="22"/>
          <w:lang w:val="en-US" w:eastAsia="zh-CN" w:bidi="ar-SA"/>
        </w:rPr>
        <w:t>会显示</w:t>
      </w:r>
      <w:r>
        <w:rPr>
          <w:rFonts w:hint="eastAsia" w:ascii="宋体" w:hAnsi="宋体" w:eastAsia="宋体" w:cs="宋体"/>
          <w:sz w:val="28"/>
          <w:szCs w:val="22"/>
          <w:lang w:val="en-US" w:eastAsia="zh-CN" w:bidi="ar-SA"/>
        </w:rPr>
        <w:t>进厂办理进度，</w:t>
      </w:r>
      <w:r>
        <w:rPr>
          <w:rFonts w:hint="eastAsia" w:ascii="宋体" w:hAnsi="宋体" w:cs="宋体"/>
          <w:sz w:val="28"/>
          <w:szCs w:val="22"/>
          <w:lang w:val="en-US" w:eastAsia="zh-CN" w:bidi="ar-SA"/>
        </w:rPr>
        <w:t>请留意。</w:t>
      </w:r>
    </w:p>
    <w:p w14:paraId="4EE53C2F">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default" w:ascii="Arial" w:hAnsi="Arial" w:eastAsia="宋体" w:cs="宋体"/>
          <w:sz w:val="28"/>
          <w:szCs w:val="22"/>
          <w:lang w:val="en-US" w:eastAsia="zh-CN" w:bidi="ar-SA"/>
        </w:rPr>
      </w:pPr>
      <w:bookmarkStart w:id="3" w:name="_Toc11074"/>
      <w:r>
        <w:rPr>
          <w:rFonts w:hint="eastAsia" w:ascii="Arial" w:hAnsi="Arial" w:eastAsia="宋体" w:cs="宋体"/>
          <w:sz w:val="28"/>
          <w:szCs w:val="22"/>
          <w:lang w:val="en-US" w:eastAsia="zh-CN" w:bidi="ar-SA"/>
        </w:rPr>
        <w:t>约人员（就是您的工作人员或是陪同人员，想进厂办公）</w:t>
      </w:r>
      <w:bookmarkEnd w:id="3"/>
    </w:p>
    <w:p w14:paraId="7F58BF14">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kern w:val="0"/>
          <w:sz w:val="28"/>
          <w:szCs w:val="22"/>
          <w:lang w:val="en-US" w:eastAsia="zh-CN"/>
        </w:rPr>
      </w:pPr>
      <w:r>
        <w:rPr>
          <w:rFonts w:hint="default" w:ascii="宋体" w:hAnsi="宋体" w:eastAsia="宋体" w:cs="宋体"/>
          <w:sz w:val="28"/>
          <w:szCs w:val="22"/>
          <w:lang w:val="en-US" w:eastAsia="zh-CN" w:bidi="ar-SA"/>
        </w:rPr>
        <w:t>在手机微信搜索，“山钢日照公司进出厂”进厂小程序，按部就班填写</w:t>
      </w:r>
      <w:r>
        <w:rPr>
          <w:rFonts w:hint="eastAsia" w:ascii="宋体" w:hAnsi="宋体" w:eastAsia="宋体" w:cs="宋体"/>
          <w:sz w:val="28"/>
          <w:szCs w:val="22"/>
          <w:lang w:val="en-US" w:eastAsia="zh-CN" w:bidi="ar-SA"/>
        </w:rPr>
        <w:t>，</w:t>
      </w:r>
      <w:r>
        <w:rPr>
          <w:rFonts w:hint="default" w:ascii="宋体" w:hAnsi="宋体" w:eastAsia="宋体" w:cs="宋体"/>
          <w:sz w:val="28"/>
          <w:szCs w:val="22"/>
          <w:lang w:val="en-US" w:eastAsia="zh-CN" w:bidi="ar-SA"/>
        </w:rPr>
        <w:t>接访单位选填“</w:t>
      </w:r>
      <w:r>
        <w:rPr>
          <w:rFonts w:hint="eastAsia" w:ascii="宋体" w:hAnsi="宋体" w:eastAsia="宋体" w:cs="宋体"/>
          <w:sz w:val="28"/>
          <w:szCs w:val="22"/>
          <w:em w:val="dot"/>
          <w:lang w:val="en-US" w:eastAsia="zh-CN" w:bidi="ar-SA"/>
        </w:rPr>
        <w:t>能源环保部（原环境保护部）</w:t>
      </w:r>
      <w:r>
        <w:rPr>
          <w:rFonts w:hint="default" w:ascii="宋体" w:hAnsi="宋体" w:eastAsia="宋体" w:cs="宋体"/>
          <w:sz w:val="28"/>
          <w:szCs w:val="22"/>
          <w:lang w:val="en-US" w:eastAsia="zh-CN" w:bidi="ar-SA"/>
        </w:rPr>
        <w:t>”、进门选填“</w:t>
      </w:r>
      <w:r>
        <w:rPr>
          <w:rFonts w:hint="default" w:ascii="宋体" w:hAnsi="宋体" w:eastAsia="宋体" w:cs="宋体"/>
          <w:sz w:val="28"/>
          <w:szCs w:val="22"/>
          <w:em w:val="dot"/>
          <w:lang w:val="en-US" w:eastAsia="zh-CN" w:bidi="ar-SA"/>
        </w:rPr>
        <w:t>1号门</w:t>
      </w:r>
      <w:r>
        <w:rPr>
          <w:rFonts w:hint="default" w:ascii="宋体" w:hAnsi="宋体" w:eastAsia="宋体" w:cs="宋体"/>
          <w:sz w:val="28"/>
          <w:szCs w:val="22"/>
          <w:lang w:val="en-US" w:eastAsia="zh-CN" w:bidi="ar-SA"/>
        </w:rPr>
        <w:t>”，提交。图片为</w:t>
      </w:r>
      <w:r>
        <w:rPr>
          <w:rFonts w:hint="eastAsia" w:ascii="宋体" w:hAnsi="宋体" w:eastAsia="宋体" w:cs="宋体"/>
          <w:sz w:val="28"/>
          <w:szCs w:val="22"/>
          <w:lang w:val="en-US" w:eastAsia="zh-CN" w:bidi="ar-SA"/>
        </w:rPr>
        <w:t>您的面部照片</w:t>
      </w:r>
      <w:r>
        <w:rPr>
          <w:rFonts w:hint="default" w:ascii="宋体" w:hAnsi="宋体" w:eastAsia="宋体" w:cs="宋体"/>
          <w:sz w:val="28"/>
          <w:szCs w:val="22"/>
          <w:lang w:val="en-US" w:eastAsia="zh-CN" w:bidi="ar-SA"/>
        </w:rPr>
        <w:t>，不是</w:t>
      </w:r>
      <w:r>
        <w:rPr>
          <w:rFonts w:hint="eastAsia" w:ascii="宋体" w:hAnsi="宋体" w:eastAsia="宋体" w:cs="宋体"/>
          <w:sz w:val="28"/>
          <w:szCs w:val="22"/>
          <w:lang w:val="en-US" w:eastAsia="zh-CN" w:bidi="ar-SA"/>
        </w:rPr>
        <w:t>您的全身照，作为人脸识别依据</w:t>
      </w:r>
      <w:r>
        <w:rPr>
          <w:rFonts w:hint="default" w:ascii="宋体" w:hAnsi="宋体" w:eastAsia="宋体" w:cs="宋体"/>
          <w:sz w:val="28"/>
          <w:szCs w:val="22"/>
          <w:lang w:val="en-US" w:eastAsia="zh-CN" w:bidi="ar-SA"/>
        </w:rPr>
        <w:t>。</w:t>
      </w:r>
      <w:r>
        <w:rPr>
          <w:rFonts w:hint="eastAsia" w:ascii="宋体" w:hAnsi="宋体" w:eastAsia="宋体" w:cs="宋体"/>
          <w:sz w:val="28"/>
          <w:szCs w:val="22"/>
          <w:lang w:val="en-US" w:eastAsia="zh-CN" w:bidi="ar-SA"/>
        </w:rPr>
        <w:t>上传照片一定要清楚、周正、文件大小小于1M，以便顺利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w:t>
      </w:r>
    </w:p>
    <w:p w14:paraId="13A557F9">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bookmarkStart w:id="4" w:name="_Toc29295"/>
      <w:r>
        <w:rPr>
          <w:rFonts w:hint="eastAsia" w:ascii="Arial" w:hAnsi="Arial" w:eastAsia="宋体" w:cs="宋体"/>
          <w:sz w:val="28"/>
          <w:szCs w:val="22"/>
          <w:lang w:val="en-US" w:eastAsia="zh-CN" w:bidi="ar-SA"/>
        </w:rPr>
        <w:t>一人一小车情况</w:t>
      </w:r>
      <w:bookmarkEnd w:id="4"/>
    </w:p>
    <w:p w14:paraId="5F3DCDC8">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只用约车就行，车把您带进来。</w:t>
      </w:r>
    </w:p>
    <w:p w14:paraId="12ADFE5B">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多人一小车情况</w:t>
      </w:r>
    </w:p>
    <w:p w14:paraId="0E77AB5C">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人与车分别预约，请关注自己手机上的预约进度</w:t>
      </w:r>
    </w:p>
    <w:p w14:paraId="0AF39737">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default"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汇合集中等待位置</w:t>
      </w:r>
      <w:r>
        <w:rPr>
          <w:rFonts w:hint="eastAsia" w:ascii="宋体" w:hAnsi="宋体" w:cs="宋体"/>
          <w:kern w:val="0"/>
          <w:sz w:val="28"/>
          <w:szCs w:val="22"/>
          <w:lang w:val="en-US" w:eastAsia="zh-CN"/>
        </w:rPr>
        <w:t>（导航至山东钢铁集团日照有限公司</w:t>
      </w:r>
      <w:r>
        <w:rPr>
          <w:rFonts w:hint="eastAsia" w:ascii="宋体" w:hAnsi="宋体" w:cs="宋体"/>
          <w:kern w:val="0"/>
          <w:sz w:val="28"/>
          <w:szCs w:val="22"/>
          <w:em w:val="dot"/>
          <w:lang w:val="en-US" w:eastAsia="zh-CN"/>
        </w:rPr>
        <w:t>北1门</w:t>
      </w:r>
      <w:r>
        <w:rPr>
          <w:rFonts w:hint="eastAsia" w:ascii="宋体" w:hAnsi="宋体" w:cs="宋体"/>
          <w:kern w:val="0"/>
          <w:sz w:val="28"/>
          <w:szCs w:val="22"/>
          <w:lang w:val="en-US" w:eastAsia="zh-CN"/>
        </w:rPr>
        <w:t>，并进入北1门里面）</w:t>
      </w:r>
    </w:p>
    <w:p w14:paraId="32DC76CC">
      <w:pPr>
        <w:bidi w:val="0"/>
        <w:jc w:val="center"/>
        <w:rPr>
          <w:rFonts w:hint="eastAsia"/>
          <w:lang w:val="en-US" w:eastAsia="zh-CN"/>
        </w:rPr>
      </w:pPr>
      <w:r>
        <w:rPr>
          <w:rFonts w:hint="eastAsia"/>
          <w:lang w:val="en-US" w:eastAsia="zh-CN"/>
        </w:rPr>
        <w:drawing>
          <wp:inline distT="0" distB="0" distL="114300" distR="114300">
            <wp:extent cx="3433445" cy="4866640"/>
            <wp:effectExtent l="0" t="0" r="8255" b="10160"/>
            <wp:docPr id="11" name="图片 54" descr="f910d2660f3c68d59bfeb88cc67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4" descr="f910d2660f3c68d59bfeb88cc671900"/>
                    <pic:cNvPicPr>
                      <a:picLocks noChangeAspect="1"/>
                    </pic:cNvPicPr>
                  </pic:nvPicPr>
                  <pic:blipFill>
                    <a:blip r:embed="rId12"/>
                    <a:stretch>
                      <a:fillRect/>
                    </a:stretch>
                  </pic:blipFill>
                  <pic:spPr>
                    <a:xfrm>
                      <a:off x="0" y="0"/>
                      <a:ext cx="3433445" cy="4866640"/>
                    </a:xfrm>
                    <a:prstGeom prst="rect">
                      <a:avLst/>
                    </a:prstGeom>
                    <a:noFill/>
                    <a:ln>
                      <a:noFill/>
                    </a:ln>
                  </pic:spPr>
                </pic:pic>
              </a:graphicData>
            </a:graphic>
          </wp:inline>
        </w:drawing>
      </w:r>
    </w:p>
    <w:p w14:paraId="2DA62210">
      <w:pPr>
        <w:pStyle w:val="11"/>
        <w:bidi w:val="0"/>
        <w:jc w:val="center"/>
        <w:rPr>
          <w:rFonts w:hint="default" w:eastAsia="宋体"/>
          <w:lang w:val="en-US" w:eastAsia="zh-CN"/>
        </w:rPr>
      </w:pPr>
      <w:bookmarkStart w:id="5" w:name="_Ref32430"/>
      <w:r>
        <w:t xml:space="preserve">图 </w:t>
      </w:r>
      <w:r>
        <w:fldChar w:fldCharType="begin"/>
      </w:r>
      <w:r>
        <w:instrText xml:space="preserve"> SEQ 图 \* ARABIC </w:instrText>
      </w:r>
      <w:r>
        <w:fldChar w:fldCharType="separate"/>
      </w:r>
      <w:r>
        <w:t>2</w:t>
      </w:r>
      <w:r>
        <w:fldChar w:fldCharType="end"/>
      </w:r>
      <w:r>
        <w:rPr>
          <w:rFonts w:hint="eastAsia"/>
          <w:lang w:val="en-US" w:eastAsia="zh-CN"/>
        </w:rPr>
        <w:t>集中汇合点</w:t>
      </w:r>
      <w:bookmarkEnd w:id="5"/>
    </w:p>
    <w:p w14:paraId="51F5A2A5">
      <w:pPr>
        <w:bidi w:val="0"/>
        <w:rPr>
          <w:rFonts w:hint="eastAsia"/>
          <w:lang w:val="en-US" w:eastAsia="zh-CN"/>
        </w:rPr>
      </w:pPr>
    </w:p>
    <w:p w14:paraId="4E3A4345">
      <w:pPr>
        <w:bidi w:val="0"/>
        <w:rPr>
          <w:rFonts w:hint="eastAsia"/>
          <w:lang w:val="en-US" w:eastAsia="zh-CN"/>
        </w:rPr>
      </w:pPr>
    </w:p>
    <w:p w14:paraId="6FC16FFD">
      <w:pPr>
        <w:bidi w:val="0"/>
        <w:rPr>
          <w:rFonts w:hint="eastAsia"/>
          <w:lang w:val="en-US" w:eastAsia="zh-CN"/>
        </w:rPr>
        <w:sectPr>
          <w:pgSz w:w="11906" w:h="16838"/>
          <w:pgMar w:top="720" w:right="720" w:bottom="720" w:left="720" w:header="851" w:footer="992" w:gutter="0"/>
          <w:pgNumType w:fmt="decimal"/>
          <w:cols w:space="720" w:num="1"/>
          <w:docGrid w:type="lines" w:linePitch="312" w:charSpace="0"/>
        </w:sectPr>
      </w:pPr>
    </w:p>
    <w:p w14:paraId="7103D9E6">
      <w:pPr>
        <w:pStyle w:val="28"/>
        <w:bidi w:val="0"/>
        <w:ind w:left="0" w:leftChars="0" w:firstLine="420" w:firstLineChars="0"/>
        <w:rPr>
          <w:rFonts w:hint="eastAsia"/>
          <w:lang w:val="en-US" w:eastAsia="zh-CN"/>
        </w:rPr>
      </w:pPr>
      <w:r>
        <w:rPr>
          <w:rFonts w:hint="eastAsia"/>
          <w:lang w:val="en-US" w:eastAsia="zh-CN"/>
        </w:rPr>
        <w:t>合同附件使用说明</w:t>
      </w:r>
    </w:p>
    <w:p w14:paraId="0135D0E6">
      <w:pPr>
        <w:pStyle w:val="27"/>
        <w:bidi w:val="0"/>
        <w:jc w:val="center"/>
        <w:rPr>
          <w:rFonts w:hint="eastAsia" w:ascii="黑体" w:hAnsi="黑体" w:eastAsia="黑体" w:cs="黑体"/>
          <w:lang w:val="en-US" w:eastAsia="zh-CN"/>
        </w:rPr>
      </w:pPr>
      <w:r>
        <w:rPr>
          <w:rFonts w:hint="eastAsia" w:ascii="黑体" w:hAnsi="黑体" w:eastAsia="黑体" w:cs="黑体"/>
          <w:lang w:val="en-US" w:eastAsia="zh-CN"/>
        </w:rPr>
        <w:t>使用说明</w:t>
      </w:r>
    </w:p>
    <w:p w14:paraId="3CDDBA4A">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需要提前踏勘现场请阅知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_Ref16409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附件2</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33B47EA1">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需要在循环宝平台报价前，提供资质审核条件请阅知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_Ref149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附件4</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3AE7847A">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签署正式合同请阅知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附件5</w:t>
      </w:r>
      <w:r>
        <w:rPr>
          <w:rFonts w:hint="eastAsia" w:ascii="宋体" w:hAnsi="宋体" w:eastAsia="宋体" w:cs="宋体"/>
          <w:lang w:val="en-US" w:eastAsia="zh-CN"/>
        </w:rPr>
        <w:fldChar w:fldCharType="end"/>
      </w:r>
      <w:r>
        <w:rPr>
          <w:rFonts w:hint="eastAsia" w:ascii="宋体" w:hAnsi="宋体" w:eastAsia="宋体" w:cs="宋体"/>
          <w:lang w:val="en-US" w:eastAsia="zh-CN"/>
        </w:rPr>
        <w:t>（或</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_Ref2418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附件6</w:t>
      </w:r>
      <w:r>
        <w:rPr>
          <w:rFonts w:hint="eastAsia" w:ascii="宋体" w:hAnsi="宋体" w:eastAsia="宋体" w:cs="宋体"/>
          <w:lang w:val="en-US" w:eastAsia="zh-CN"/>
        </w:rPr>
        <w:fldChar w:fldCharType="end"/>
      </w:r>
      <w:r>
        <w:rPr>
          <w:rFonts w:hint="eastAsia" w:ascii="宋体" w:hAnsi="宋体" w:eastAsia="宋体" w:cs="宋体"/>
          <w:lang w:val="en-US" w:eastAsia="zh-CN"/>
        </w:rPr>
        <w:t>）、</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_Ref17640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附件8</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7941C3AF">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附件5</w:t>
      </w:r>
      <w:r>
        <w:rPr>
          <w:rFonts w:hint="eastAsia" w:ascii="宋体" w:hAnsi="宋体" w:eastAsia="宋体" w:cs="宋体"/>
          <w:lang w:val="en-US" w:eastAsia="zh-CN"/>
        </w:rPr>
        <w:fldChar w:fldCharType="end"/>
      </w:r>
      <w:r>
        <w:rPr>
          <w:rFonts w:hint="eastAsia" w:ascii="宋体" w:hAnsi="宋体" w:eastAsia="宋体" w:cs="宋体"/>
          <w:lang w:val="en-US" w:eastAsia="zh-CN"/>
        </w:rPr>
        <w:t>（或</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_Ref2418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附件6</w:t>
      </w:r>
      <w:r>
        <w:rPr>
          <w:rFonts w:hint="eastAsia" w:ascii="宋体" w:hAnsi="宋体" w:eastAsia="宋体" w:cs="宋体"/>
          <w:lang w:val="en-US" w:eastAsia="zh-CN"/>
        </w:rPr>
        <w:fldChar w:fldCharType="end"/>
      </w:r>
      <w:r>
        <w:rPr>
          <w:rFonts w:hint="eastAsia" w:ascii="宋体" w:hAnsi="宋体" w:eastAsia="宋体" w:cs="宋体"/>
          <w:lang w:val="en-US" w:eastAsia="zh-CN"/>
        </w:rPr>
        <w:t>）承诺函与</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_Ref17640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附件8</w:t>
      </w:r>
      <w:r>
        <w:rPr>
          <w:rFonts w:hint="eastAsia" w:ascii="宋体" w:hAnsi="宋体" w:eastAsia="宋体" w:cs="宋体"/>
          <w:lang w:val="en-US" w:eastAsia="zh-CN"/>
        </w:rPr>
        <w:fldChar w:fldCharType="end"/>
      </w:r>
      <w:r>
        <w:rPr>
          <w:rFonts w:hint="eastAsia" w:ascii="宋体" w:hAnsi="宋体" w:eastAsia="宋体" w:cs="宋体"/>
          <w:lang w:val="en-US" w:eastAsia="zh-CN"/>
        </w:rPr>
        <w:t>业务澄清说明为一合同一签；</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_Ref17633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附件7</w:t>
      </w:r>
      <w:r>
        <w:rPr>
          <w:rFonts w:hint="eastAsia" w:ascii="宋体" w:hAnsi="宋体" w:eastAsia="宋体" w:cs="宋体"/>
          <w:lang w:val="en-US" w:eastAsia="zh-CN"/>
        </w:rPr>
        <w:fldChar w:fldCharType="end"/>
      </w:r>
      <w:r>
        <w:rPr>
          <w:rFonts w:hint="eastAsia" w:ascii="宋体" w:hAnsi="宋体" w:eastAsia="宋体" w:cs="宋体"/>
          <w:lang w:val="en-US" w:eastAsia="zh-CN"/>
        </w:rPr>
        <w:t>廉洁协议为一单位一签，签过不必重签.</w:t>
      </w:r>
    </w:p>
    <w:p w14:paraId="564F5B65">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打印前一般</w:t>
      </w:r>
      <w:r>
        <w:rPr>
          <w:rFonts w:hint="eastAsia" w:ascii="宋体" w:hAnsi="宋体" w:eastAsia="宋体" w:cs="宋体"/>
          <w:em w:val="dot"/>
          <w:lang w:val="en-US" w:eastAsia="zh-CN"/>
        </w:rPr>
        <w:t>不要轻易做出格式调整</w:t>
      </w:r>
      <w:r>
        <w:rPr>
          <w:rFonts w:hint="eastAsia" w:ascii="宋体" w:hAnsi="宋体" w:eastAsia="宋体" w:cs="宋体"/>
          <w:lang w:val="en-US" w:eastAsia="zh-CN"/>
        </w:rPr>
        <w:t>，文档都经过精调，多余调整可能会错位.</w:t>
      </w:r>
    </w:p>
    <w:p w14:paraId="35FF06A0">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合同以及其他必须得合同附件等各个文件，足份打印、足份签字盖章；签字盖章的地方有重点强调。签字与盖章不要省、不要错位.</w:t>
      </w:r>
    </w:p>
    <w:p w14:paraId="79353482">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注意行政公章与合同公章应用区分.</w:t>
      </w:r>
    </w:p>
    <w:p w14:paraId="79C43B73">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若邮寄请邮寄至地址：山东省日照市山东钢铁日照有限公司协同楼101室，魏经理，0633-7925565.</w:t>
      </w:r>
    </w:p>
    <w:p w14:paraId="71058F2D">
      <w:pPr>
        <w:keepNext/>
        <w:keepLines/>
        <w:widowControl w:val="0"/>
        <w:numPr>
          <w:ilvl w:val="0"/>
          <w:numId w:val="0"/>
        </w:numPr>
        <w:bidi w:val="0"/>
        <w:spacing w:beforeLines="0" w:beforeAutospacing="0" w:afterLines="0" w:afterAutospacing="0" w:line="560" w:lineRule="exact"/>
        <w:ind w:leftChars="0"/>
        <w:jc w:val="both"/>
        <w:outlineLvl w:val="0"/>
        <w:rPr>
          <w:rFonts w:hint="eastAsia" w:ascii="黑体" w:hAnsi="黑体" w:eastAsia="黑体" w:cs="Times New Roman"/>
          <w:kern w:val="44"/>
          <w:sz w:val="32"/>
          <w:szCs w:val="24"/>
          <w:lang w:val="en-US" w:eastAsia="zh-CN" w:bidi="ar-SA"/>
        </w:rPr>
        <w:sectPr>
          <w:pgSz w:w="11906" w:h="16838"/>
          <w:pgMar w:top="720" w:right="720" w:bottom="720" w:left="720" w:header="851" w:footer="992" w:gutter="0"/>
          <w:pgNumType w:fmt="decimal"/>
          <w:cols w:space="720" w:num="1"/>
          <w:docGrid w:type="lines" w:linePitch="312" w:charSpace="0"/>
        </w:sectPr>
      </w:pPr>
    </w:p>
    <w:p w14:paraId="7D3B5829">
      <w:pPr>
        <w:pStyle w:val="28"/>
        <w:bidi w:val="0"/>
        <w:ind w:left="0" w:leftChars="0" w:firstLine="420" w:firstLineChars="0"/>
        <w:rPr>
          <w:rFonts w:hint="eastAsia"/>
          <w:lang w:val="en-US" w:eastAsia="zh-CN"/>
        </w:rPr>
      </w:pPr>
      <w:bookmarkStart w:id="6" w:name="_Ref149"/>
      <w:r>
        <w:rPr>
          <w:rFonts w:hint="eastAsia"/>
          <w:lang w:val="en-US" w:eastAsia="zh-CN"/>
        </w:rPr>
        <w:t>山钢招标采购平台网上上传资质与报价流程</w:t>
      </w:r>
      <w:bookmarkEnd w:id="6"/>
    </w:p>
    <w:p w14:paraId="188CC6A7">
      <w:pPr>
        <w:numPr>
          <w:ilvl w:val="0"/>
          <w:numId w:val="12"/>
        </w:numPr>
        <w:ind w:left="0" w:leftChars="0" w:firstLine="420" w:firstLineChars="0"/>
        <w:jc w:val="center"/>
        <w:rPr>
          <w:rFonts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网上投标注册流程</w:t>
      </w:r>
    </w:p>
    <w:p w14:paraId="552AB2CF">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招标采购平台地址：</w:t>
      </w:r>
      <w:r>
        <w:rPr>
          <w:rFonts w:ascii="Times New Roman" w:hAnsi="Times New Roman" w:eastAsia="宋体" w:cs="Times New Roman"/>
          <w:b w:val="0"/>
          <w:bCs w:val="0"/>
          <w:color w:val="auto"/>
          <w:sz w:val="24"/>
          <w:szCs w:val="24"/>
        </w:rPr>
        <w:fldChar w:fldCharType="begin"/>
      </w:r>
      <w:r>
        <w:rPr>
          <w:rFonts w:ascii="Times New Roman" w:hAnsi="Times New Roman" w:eastAsia="宋体" w:cs="Times New Roman"/>
          <w:b w:val="0"/>
          <w:bCs w:val="0"/>
          <w:color w:val="auto"/>
          <w:sz w:val="24"/>
          <w:szCs w:val="24"/>
        </w:rPr>
        <w:instrText xml:space="preserve"> HYPERLINK "http://bams.shansteelgroup.com/Suppliers/Default.aspx" </w:instrText>
      </w:r>
      <w:r>
        <w:rPr>
          <w:rFonts w:ascii="Times New Roman" w:hAnsi="Times New Roman" w:eastAsia="宋体" w:cs="Times New Roman"/>
          <w:b w:val="0"/>
          <w:bCs w:val="0"/>
          <w:color w:val="auto"/>
          <w:sz w:val="24"/>
          <w:szCs w:val="24"/>
        </w:rPr>
        <w:fldChar w:fldCharType="separate"/>
      </w:r>
      <w:r>
        <w:rPr>
          <w:rFonts w:ascii="Times New Roman" w:hAnsi="Times New Roman" w:eastAsia="宋体" w:cs="Times New Roman"/>
          <w:b w:val="0"/>
          <w:bCs w:val="0"/>
          <w:color w:val="auto"/>
          <w:sz w:val="24"/>
          <w:szCs w:val="24"/>
          <w:u w:val="single"/>
        </w:rPr>
        <w:t>http://bams.shansteelgroup.com/Suppliers/Default.aspx</w:t>
      </w:r>
      <w:r>
        <w:rPr>
          <w:rFonts w:ascii="Times New Roman" w:hAnsi="Times New Roman" w:eastAsia="宋体" w:cs="Times New Roman"/>
          <w:b w:val="0"/>
          <w:bCs w:val="0"/>
          <w:color w:val="auto"/>
          <w:sz w:val="24"/>
          <w:szCs w:val="24"/>
          <w:u w:val="single"/>
        </w:rPr>
        <w:fldChar w:fldCharType="end"/>
      </w:r>
    </w:p>
    <w:p w14:paraId="2EC5E9F4">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左侧“</w:t>
      </w:r>
      <w:r>
        <w:rPr>
          <w:rFonts w:hint="eastAsia" w:ascii="Times New Roman" w:hAnsi="Times New Roman" w:eastAsia="宋体" w:cs="Times New Roman"/>
          <w:b w:val="0"/>
          <w:bCs w:val="0"/>
          <w:color w:val="auto"/>
          <w:sz w:val="24"/>
          <w:szCs w:val="24"/>
          <w:highlight w:val="yellow"/>
        </w:rPr>
        <w:t>供应商入口</w:t>
      </w:r>
      <w:r>
        <w:rPr>
          <w:rFonts w:hint="eastAsia" w:ascii="Times New Roman" w:hAnsi="Times New Roman" w:eastAsia="宋体" w:cs="Times New Roman"/>
          <w:b w:val="0"/>
          <w:bCs w:val="0"/>
          <w:color w:val="auto"/>
          <w:sz w:val="24"/>
          <w:szCs w:val="24"/>
        </w:rPr>
        <w:t>”，点击“</w:t>
      </w:r>
      <w:r>
        <w:rPr>
          <w:rFonts w:hint="eastAsia" w:ascii="Times New Roman" w:hAnsi="Times New Roman" w:eastAsia="宋体" w:cs="Times New Roman"/>
          <w:b w:val="0"/>
          <w:bCs w:val="0"/>
          <w:color w:val="auto"/>
          <w:sz w:val="24"/>
          <w:szCs w:val="24"/>
          <w:highlight w:val="yellow"/>
        </w:rPr>
        <w:t>注册</w:t>
      </w:r>
      <w:r>
        <w:rPr>
          <w:rFonts w:hint="eastAsia" w:ascii="Times New Roman" w:hAnsi="Times New Roman" w:eastAsia="宋体" w:cs="Times New Roman"/>
          <w:b w:val="0"/>
          <w:bCs w:val="0"/>
          <w:color w:val="auto"/>
          <w:sz w:val="24"/>
          <w:szCs w:val="24"/>
        </w:rPr>
        <w:t>”</w:t>
      </w:r>
    </w:p>
    <w:p w14:paraId="3BCDDA9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385185"/>
            <wp:effectExtent l="0" t="0" r="1905" b="5715"/>
            <wp:docPr id="12" name="图片 44" descr="说明: 1513047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descr="说明: 1513047755(1)"/>
                    <pic:cNvPicPr>
                      <a:picLocks noChangeAspect="1"/>
                    </pic:cNvPicPr>
                  </pic:nvPicPr>
                  <pic:blipFill>
                    <a:blip r:embed="rId13"/>
                    <a:stretch>
                      <a:fillRect/>
                    </a:stretch>
                  </pic:blipFill>
                  <pic:spPr>
                    <a:xfrm>
                      <a:off x="0" y="0"/>
                      <a:ext cx="5039995" cy="3385185"/>
                    </a:xfrm>
                    <a:prstGeom prst="rect">
                      <a:avLst/>
                    </a:prstGeom>
                    <a:noFill/>
                    <a:ln>
                      <a:noFill/>
                    </a:ln>
                  </pic:spPr>
                </pic:pic>
              </a:graphicData>
            </a:graphic>
          </wp:inline>
        </w:drawing>
      </w:r>
    </w:p>
    <w:p w14:paraId="10B760E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输入</w:t>
      </w:r>
      <w:r>
        <w:rPr>
          <w:rFonts w:hint="eastAsia" w:ascii="Times New Roman" w:hAnsi="Times New Roman" w:eastAsia="宋体" w:cs="Times New Roman"/>
          <w:b w:val="0"/>
          <w:bCs w:val="0"/>
          <w:color w:val="auto"/>
          <w:sz w:val="24"/>
          <w:szCs w:val="24"/>
          <w:highlight w:val="yellow"/>
        </w:rPr>
        <w:t>企业名称</w:t>
      </w:r>
      <w:r>
        <w:rPr>
          <w:rFonts w:hint="eastAsia" w:ascii="Times New Roman" w:hAnsi="Times New Roman" w:eastAsia="宋体" w:cs="Times New Roman"/>
          <w:b w:val="0"/>
          <w:bCs w:val="0"/>
          <w:color w:val="auto"/>
          <w:sz w:val="24"/>
          <w:szCs w:val="24"/>
        </w:rPr>
        <w:t>、设置</w:t>
      </w:r>
      <w:r>
        <w:rPr>
          <w:rFonts w:hint="eastAsia" w:ascii="Times New Roman" w:hAnsi="Times New Roman" w:eastAsia="宋体" w:cs="Times New Roman"/>
          <w:b w:val="0"/>
          <w:bCs w:val="0"/>
          <w:color w:val="auto"/>
          <w:sz w:val="24"/>
          <w:szCs w:val="24"/>
          <w:highlight w:val="yellow"/>
        </w:rPr>
        <w:t>用户名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密码</w:t>
      </w:r>
      <w:r>
        <w:rPr>
          <w:rFonts w:hint="eastAsia" w:ascii="Times New Roman" w:hAnsi="Times New Roman" w:eastAsia="宋体" w:cs="Times New Roman"/>
          <w:b w:val="0"/>
          <w:bCs w:val="0"/>
          <w:color w:val="auto"/>
          <w:sz w:val="24"/>
          <w:szCs w:val="24"/>
        </w:rPr>
        <w:t>，点击下一步</w:t>
      </w:r>
    </w:p>
    <w:p w14:paraId="5D3B9592">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035175"/>
            <wp:effectExtent l="0" t="0" r="1905" b="9525"/>
            <wp:docPr id="1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5"/>
                    <pic:cNvPicPr>
                      <a:picLocks noChangeAspect="1"/>
                    </pic:cNvPicPr>
                  </pic:nvPicPr>
                  <pic:blipFill>
                    <a:blip r:embed="rId14"/>
                    <a:stretch>
                      <a:fillRect/>
                    </a:stretch>
                  </pic:blipFill>
                  <pic:spPr>
                    <a:xfrm>
                      <a:off x="0" y="0"/>
                      <a:ext cx="5039995" cy="2035175"/>
                    </a:xfrm>
                    <a:prstGeom prst="rect">
                      <a:avLst/>
                    </a:prstGeom>
                    <a:noFill/>
                    <a:ln>
                      <a:noFill/>
                    </a:ln>
                  </pic:spPr>
                </pic:pic>
              </a:graphicData>
            </a:graphic>
          </wp:inline>
        </w:drawing>
      </w:r>
    </w:p>
    <w:p w14:paraId="311276E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录入</w:t>
      </w:r>
      <w:r>
        <w:rPr>
          <w:rFonts w:hint="eastAsia" w:ascii="Times New Roman" w:hAnsi="Times New Roman" w:eastAsia="宋体" w:cs="Times New Roman"/>
          <w:b w:val="0"/>
          <w:bCs w:val="0"/>
          <w:color w:val="auto"/>
          <w:sz w:val="24"/>
          <w:szCs w:val="24"/>
          <w:highlight w:val="yellow"/>
        </w:rPr>
        <w:t>注册资金</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开户银行信息</w:t>
      </w:r>
      <w:r>
        <w:rPr>
          <w:rFonts w:hint="eastAsia" w:ascii="Times New Roman" w:hAnsi="Times New Roman" w:eastAsia="宋体" w:cs="Times New Roman"/>
          <w:b w:val="0"/>
          <w:bCs w:val="0"/>
          <w:color w:val="auto"/>
          <w:sz w:val="24"/>
          <w:szCs w:val="24"/>
        </w:rPr>
        <w:t>，此页面除邮政编码外需要全部填写</w:t>
      </w:r>
    </w:p>
    <w:p w14:paraId="5680921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32330"/>
            <wp:effectExtent l="0" t="0" r="1905" b="1270"/>
            <wp:docPr id="1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6"/>
                    <pic:cNvPicPr>
                      <a:picLocks noChangeAspect="1"/>
                    </pic:cNvPicPr>
                  </pic:nvPicPr>
                  <pic:blipFill>
                    <a:blip r:embed="rId15"/>
                    <a:stretch>
                      <a:fillRect/>
                    </a:stretch>
                  </pic:blipFill>
                  <pic:spPr>
                    <a:xfrm>
                      <a:off x="0" y="0"/>
                      <a:ext cx="5039995" cy="2132330"/>
                    </a:xfrm>
                    <a:prstGeom prst="rect">
                      <a:avLst/>
                    </a:prstGeom>
                    <a:noFill/>
                    <a:ln>
                      <a:noFill/>
                    </a:ln>
                  </pic:spPr>
                </pic:pic>
              </a:graphicData>
            </a:graphic>
          </wp:inline>
        </w:drawing>
      </w:r>
    </w:p>
    <w:p w14:paraId="37522B0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填写</w:t>
      </w:r>
      <w:r>
        <w:rPr>
          <w:rFonts w:hint="eastAsia" w:ascii="Times New Roman" w:hAnsi="Times New Roman" w:eastAsia="宋体" w:cs="Times New Roman"/>
          <w:b w:val="0"/>
          <w:bCs w:val="0"/>
          <w:color w:val="auto"/>
          <w:sz w:val="24"/>
          <w:szCs w:val="24"/>
          <w:highlight w:val="yellow"/>
        </w:rPr>
        <w:t>法人代表姓名</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授权代理人姓名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手机号</w:t>
      </w:r>
    </w:p>
    <w:p w14:paraId="495053F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5291455"/>
            <wp:effectExtent l="0" t="0" r="1905" b="4445"/>
            <wp:docPr id="1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7"/>
                    <pic:cNvPicPr>
                      <a:picLocks noChangeAspect="1"/>
                    </pic:cNvPicPr>
                  </pic:nvPicPr>
                  <pic:blipFill>
                    <a:blip r:embed="rId16"/>
                    <a:stretch>
                      <a:fillRect/>
                    </a:stretch>
                  </pic:blipFill>
                  <pic:spPr>
                    <a:xfrm>
                      <a:off x="0" y="0"/>
                      <a:ext cx="5039995" cy="5291455"/>
                    </a:xfrm>
                    <a:prstGeom prst="rect">
                      <a:avLst/>
                    </a:prstGeom>
                    <a:noFill/>
                    <a:ln>
                      <a:noFill/>
                    </a:ln>
                  </pic:spPr>
                </pic:pic>
              </a:graphicData>
            </a:graphic>
          </wp:inline>
        </w:drawing>
      </w:r>
    </w:p>
    <w:p w14:paraId="10BE1527">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上传资质文件。填写营业执照有效期，上传</w:t>
      </w:r>
      <w:r>
        <w:rPr>
          <w:rFonts w:hint="eastAsia" w:ascii="Times New Roman" w:hAnsi="Times New Roman" w:eastAsia="宋体" w:cs="Times New Roman"/>
          <w:b w:val="0"/>
          <w:bCs w:val="0"/>
          <w:color w:val="auto"/>
          <w:sz w:val="24"/>
          <w:szCs w:val="24"/>
          <w:highlight w:val="yellow"/>
        </w:rPr>
        <w:t>营业执照、税务登记证、危废许可证、授权委托书</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本标相关的生产工艺流程</w:t>
      </w:r>
      <w:r>
        <w:rPr>
          <w:rFonts w:hint="eastAsia" w:ascii="Times New Roman" w:hAnsi="Times New Roman" w:eastAsia="宋体" w:cs="Times New Roman"/>
          <w:b w:val="0"/>
          <w:bCs w:val="0"/>
          <w:color w:val="auto"/>
          <w:sz w:val="24"/>
          <w:szCs w:val="24"/>
          <w:highlight w:val="yellow"/>
        </w:rPr>
        <w:t>等材料</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注意：本案列举的资料为典型案例资料，实际需上传资料以招标公告载明为准，进行适当调整、补充</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rPr>
        <w:t>（先“选择文件”，然后点“添加”），最后一项“拟投单位”选“</w:t>
      </w:r>
      <w:r>
        <w:rPr>
          <w:rFonts w:hint="eastAsia" w:ascii="Times New Roman" w:hAnsi="Times New Roman" w:eastAsia="宋体" w:cs="Times New Roman"/>
          <w:b w:val="0"/>
          <w:bCs w:val="0"/>
          <w:color w:val="auto"/>
          <w:sz w:val="24"/>
          <w:szCs w:val="24"/>
          <w:highlight w:val="yellow"/>
        </w:rPr>
        <w:t>日照公司</w:t>
      </w:r>
      <w:r>
        <w:rPr>
          <w:rFonts w:hint="eastAsia" w:ascii="Times New Roman" w:hAnsi="Times New Roman" w:eastAsia="宋体" w:cs="Times New Roman"/>
          <w:b w:val="0"/>
          <w:bCs w:val="0"/>
          <w:color w:val="auto"/>
          <w:sz w:val="24"/>
          <w:szCs w:val="24"/>
        </w:rPr>
        <w:t>”。</w:t>
      </w:r>
    </w:p>
    <w:p w14:paraId="2CC841F3">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注意：①营业执照有效期为无限期的，截至日期统一填写</w:t>
      </w:r>
      <w:r>
        <w:rPr>
          <w:rFonts w:ascii="Times New Roman" w:hAnsi="Times New Roman" w:eastAsia="宋体" w:cs="Times New Roman"/>
          <w:b w:val="0"/>
          <w:bCs w:val="0"/>
          <w:color w:val="auto"/>
          <w:sz w:val="24"/>
          <w:szCs w:val="24"/>
        </w:rPr>
        <w:t>2050-1-1</w:t>
      </w:r>
      <w:r>
        <w:rPr>
          <w:rFonts w:hint="eastAsia" w:ascii="Times New Roman" w:hAnsi="Times New Roman" w:eastAsia="宋体" w:cs="Times New Roman"/>
          <w:b w:val="0"/>
          <w:bCs w:val="0"/>
          <w:color w:val="auto"/>
          <w:sz w:val="24"/>
          <w:szCs w:val="24"/>
        </w:rPr>
        <w:t>；</w:t>
      </w:r>
    </w:p>
    <w:p w14:paraId="1BB51D1B">
      <w:pPr>
        <w:spacing w:line="360" w:lineRule="auto"/>
        <w:ind w:firstLine="720" w:firstLineChars="3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②已经三证合一，没有税务登记证的，税务登记证处再上传一遍营业执照。</w:t>
      </w:r>
    </w:p>
    <w:p w14:paraId="6AC5675B">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435860"/>
            <wp:effectExtent l="0" t="0" r="1905" b="2540"/>
            <wp:docPr id="1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8"/>
                    <pic:cNvPicPr>
                      <a:picLocks noChangeAspect="1"/>
                    </pic:cNvPicPr>
                  </pic:nvPicPr>
                  <pic:blipFill>
                    <a:blip r:embed="rId17"/>
                    <a:stretch>
                      <a:fillRect/>
                    </a:stretch>
                  </pic:blipFill>
                  <pic:spPr>
                    <a:xfrm>
                      <a:off x="0" y="0"/>
                      <a:ext cx="5039995" cy="2435860"/>
                    </a:xfrm>
                    <a:prstGeom prst="rect">
                      <a:avLst/>
                    </a:prstGeom>
                    <a:noFill/>
                    <a:ln>
                      <a:noFill/>
                    </a:ln>
                  </pic:spPr>
                </pic:pic>
              </a:graphicData>
            </a:graphic>
          </wp:inline>
        </w:drawing>
      </w:r>
    </w:p>
    <w:p w14:paraId="105DBD87">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点击“完成”，点击“确定”。然后</w:t>
      </w:r>
      <w:r>
        <w:rPr>
          <w:rFonts w:hint="eastAsia" w:ascii="Times New Roman" w:hAnsi="Times New Roman" w:eastAsia="宋体" w:cs="Times New Roman"/>
          <w:b w:val="0"/>
          <w:bCs w:val="0"/>
          <w:color w:val="auto"/>
          <w:sz w:val="24"/>
          <w:szCs w:val="24"/>
          <w:highlight w:val="yellow"/>
        </w:rPr>
        <w:t>联系客户经理进行资质审核</w:t>
      </w:r>
      <w:r>
        <w:rPr>
          <w:rFonts w:hint="eastAsia" w:ascii="Times New Roman" w:hAnsi="Times New Roman" w:eastAsia="宋体" w:cs="Times New Roman"/>
          <w:b w:val="0"/>
          <w:bCs w:val="0"/>
          <w:color w:val="auto"/>
          <w:sz w:val="24"/>
          <w:szCs w:val="24"/>
        </w:rPr>
        <w:t>。</w:t>
      </w:r>
    </w:p>
    <w:p w14:paraId="3C013807">
      <w:pPr>
        <w:numPr>
          <w:ilvl w:val="0"/>
          <w:numId w:val="12"/>
        </w:numPr>
        <w:ind w:left="0" w:leftChars="0" w:firstLine="420" w:firstLineChars="0"/>
        <w:jc w:val="center"/>
        <w:rPr>
          <w:rFonts w:hint="eastAsia"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网上报价流程</w:t>
      </w:r>
    </w:p>
    <w:p w14:paraId="0279FEF1">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使用公司注册的账户密码登陆系统。</w:t>
      </w:r>
    </w:p>
    <w:p w14:paraId="04E90E0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1751330"/>
            <wp:effectExtent l="0" t="0" r="1905" b="1270"/>
            <wp:docPr id="17" name="图片 49" descr="说明: 第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9" descr="说明: 第一步"/>
                    <pic:cNvPicPr>
                      <a:picLocks noChangeAspect="1"/>
                    </pic:cNvPicPr>
                  </pic:nvPicPr>
                  <pic:blipFill>
                    <a:blip r:embed="rId18"/>
                    <a:stretch>
                      <a:fillRect/>
                    </a:stretch>
                  </pic:blipFill>
                  <pic:spPr>
                    <a:xfrm>
                      <a:off x="0" y="0"/>
                      <a:ext cx="5039995" cy="1751330"/>
                    </a:xfrm>
                    <a:prstGeom prst="rect">
                      <a:avLst/>
                    </a:prstGeom>
                    <a:noFill/>
                    <a:ln>
                      <a:noFill/>
                    </a:ln>
                  </pic:spPr>
                </pic:pic>
              </a:graphicData>
            </a:graphic>
          </wp:inline>
        </w:drawing>
      </w:r>
    </w:p>
    <w:p w14:paraId="3BC022FE">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网上报名</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标签，并对感兴趣的招标进行报名操作及文件下载。</w:t>
      </w:r>
    </w:p>
    <w:p w14:paraId="1A28C25C">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259965"/>
            <wp:effectExtent l="0" t="0" r="1905" b="635"/>
            <wp:docPr id="18" name="图片 50"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descr="说明: 2"/>
                    <pic:cNvPicPr>
                      <a:picLocks noChangeAspect="1"/>
                    </pic:cNvPicPr>
                  </pic:nvPicPr>
                  <pic:blipFill>
                    <a:blip r:embed="rId19"/>
                    <a:stretch>
                      <a:fillRect/>
                    </a:stretch>
                  </pic:blipFill>
                  <pic:spPr>
                    <a:xfrm>
                      <a:off x="0" y="0"/>
                      <a:ext cx="5039995" cy="2259965"/>
                    </a:xfrm>
                    <a:prstGeom prst="rect">
                      <a:avLst/>
                    </a:prstGeom>
                    <a:noFill/>
                    <a:ln>
                      <a:noFill/>
                    </a:ln>
                  </pic:spPr>
                </pic:pic>
              </a:graphicData>
            </a:graphic>
          </wp:inline>
        </w:drawing>
      </w:r>
    </w:p>
    <w:p w14:paraId="0638EADE">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查看投标资质，勾选‘分包’，点击‘报名’。</w:t>
      </w:r>
    </w:p>
    <w:p w14:paraId="1E6267E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093720"/>
            <wp:effectExtent l="0" t="0" r="1905" b="5080"/>
            <wp:docPr id="19" name="图片 51" descr="说明: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1" descr="说明: 3"/>
                    <pic:cNvPicPr>
                      <a:picLocks noChangeAspect="1"/>
                    </pic:cNvPicPr>
                  </pic:nvPicPr>
                  <pic:blipFill>
                    <a:blip r:embed="rId20"/>
                    <a:stretch>
                      <a:fillRect/>
                    </a:stretch>
                  </pic:blipFill>
                  <pic:spPr>
                    <a:xfrm>
                      <a:off x="0" y="0"/>
                      <a:ext cx="5039995" cy="3093720"/>
                    </a:xfrm>
                    <a:prstGeom prst="rect">
                      <a:avLst/>
                    </a:prstGeom>
                    <a:noFill/>
                    <a:ln>
                      <a:noFill/>
                    </a:ln>
                  </pic:spPr>
                </pic:pic>
              </a:graphicData>
            </a:graphic>
          </wp:inline>
        </w:drawing>
      </w:r>
    </w:p>
    <w:p w14:paraId="072D59C6">
      <w:pPr>
        <w:spacing w:line="360" w:lineRule="auto"/>
        <w:jc w:val="left"/>
        <w:rPr>
          <w:rFonts w:ascii="Times New Roman" w:hAnsi="Times New Roman" w:eastAsia="宋体" w:cs="Times New Roman"/>
          <w:b w:val="0"/>
          <w:bCs w:val="0"/>
          <w:color w:val="auto"/>
          <w:sz w:val="24"/>
          <w:szCs w:val="24"/>
        </w:rPr>
      </w:pPr>
    </w:p>
    <w:p w14:paraId="423D2D6C">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报名后，系统人员会审核相关资料，待无误后，即会出现‘网上投标’选项，查看投标情况。点击‘板坯销售投标’进行投标文件的编制。</w:t>
      </w:r>
    </w:p>
    <w:p w14:paraId="3D8BB84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263515" cy="1148715"/>
            <wp:effectExtent l="0" t="0" r="6985" b="6985"/>
            <wp:docPr id="2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2"/>
                    <pic:cNvPicPr>
                      <a:picLocks noChangeAspect="1"/>
                    </pic:cNvPicPr>
                  </pic:nvPicPr>
                  <pic:blipFill>
                    <a:blip r:embed="rId21"/>
                    <a:stretch>
                      <a:fillRect/>
                    </a:stretch>
                  </pic:blipFill>
                  <pic:spPr>
                    <a:xfrm>
                      <a:off x="0" y="0"/>
                      <a:ext cx="5263515" cy="1148715"/>
                    </a:xfrm>
                    <a:prstGeom prst="rect">
                      <a:avLst/>
                    </a:prstGeom>
                    <a:noFill/>
                    <a:ln>
                      <a:noFill/>
                    </a:ln>
                  </pic:spPr>
                </pic:pic>
              </a:graphicData>
            </a:graphic>
          </wp:inline>
        </w:drawing>
      </w:r>
    </w:p>
    <w:p w14:paraId="54B0B50F">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填写数量及单价后，保存，并点击完成投标。填写数量及单价后，保存，并点击完成投标。点击‘增加品种’，并在钢种处添加名称“标段序号”或“名称”，填写数量及单价。</w:t>
      </w:r>
      <w:r>
        <w:rPr>
          <w:rFonts w:hint="eastAsia" w:ascii="Times New Roman" w:hAnsi="Times New Roman" w:eastAsia="宋体" w:cs="Times New Roman"/>
          <w:b w:val="0"/>
          <w:bCs w:val="0"/>
          <w:color w:val="auto"/>
          <w:sz w:val="24"/>
          <w:szCs w:val="24"/>
          <w:highlight w:val="yellow"/>
          <w:lang w:val="en-US" w:eastAsia="zh-CN"/>
        </w:rPr>
        <w:t>建议报价统一填写1</w:t>
      </w:r>
      <w:r>
        <w:rPr>
          <w:rFonts w:hint="eastAsia" w:ascii="Times New Roman" w:hAnsi="Times New Roman" w:cs="Times New Roman"/>
          <w:b w:val="0"/>
          <w:bCs w:val="0"/>
          <w:color w:val="auto"/>
          <w:sz w:val="24"/>
          <w:szCs w:val="24"/>
          <w:highlight w:val="yellow"/>
          <w:lang w:val="en-US" w:eastAsia="zh-CN"/>
        </w:rPr>
        <w:t>元/吨</w:t>
      </w:r>
      <w:r>
        <w:rPr>
          <w:rFonts w:hint="eastAsia" w:ascii="Times New Roman" w:hAnsi="Times New Roman" w:eastAsia="宋体" w:cs="Times New Roman"/>
          <w:b w:val="0"/>
          <w:bCs w:val="0"/>
          <w:color w:val="auto"/>
          <w:sz w:val="24"/>
          <w:szCs w:val="24"/>
          <w:highlight w:val="yellow"/>
          <w:lang w:val="en-US" w:eastAsia="zh-CN"/>
        </w:rPr>
        <w:t>。</w:t>
      </w:r>
    </w:p>
    <w:p w14:paraId="5196342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62810"/>
            <wp:effectExtent l="0" t="0" r="1905" b="8890"/>
            <wp:docPr id="21" name="图片 53" descr="说明: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3" descr="说明: 6"/>
                    <pic:cNvPicPr>
                      <a:picLocks noChangeAspect="1"/>
                    </pic:cNvPicPr>
                  </pic:nvPicPr>
                  <pic:blipFill>
                    <a:blip r:embed="rId22"/>
                    <a:stretch>
                      <a:fillRect/>
                    </a:stretch>
                  </pic:blipFill>
                  <pic:spPr>
                    <a:xfrm>
                      <a:off x="0" y="0"/>
                      <a:ext cx="5039995" cy="2162810"/>
                    </a:xfrm>
                    <a:prstGeom prst="rect">
                      <a:avLst/>
                    </a:prstGeom>
                    <a:noFill/>
                    <a:ln>
                      <a:noFill/>
                    </a:ln>
                  </pic:spPr>
                </pic:pic>
              </a:graphicData>
            </a:graphic>
          </wp:inline>
        </w:drawing>
      </w:r>
    </w:p>
    <w:p w14:paraId="5D45B3C0">
      <w:pPr>
        <w:spacing w:line="360" w:lineRule="auto"/>
        <w:jc w:val="left"/>
        <w:rPr>
          <w:rFonts w:ascii="Times New Roman" w:hAnsi="Times New Roman" w:eastAsia="宋体" w:cs="Times New Roman"/>
          <w:b w:val="0"/>
          <w:bCs w:val="0"/>
          <w:color w:val="auto"/>
          <w:sz w:val="24"/>
          <w:szCs w:val="24"/>
        </w:rPr>
      </w:pPr>
    </w:p>
    <w:p w14:paraId="7FEFD12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至此，投标工作完成。并可通过此界面进行投标文件的撤回，及投标内容的修改。在招标报名后，即可填写投标文件并提报，无限制。（注：在开标时间到达后，投标文件将拒绝接收。）</w:t>
      </w:r>
    </w:p>
    <w:p w14:paraId="12AC8140">
      <w:pPr>
        <w:pStyle w:val="28"/>
        <w:bidi w:val="0"/>
        <w:ind w:left="0" w:leftChars="0" w:firstLine="420" w:firstLineChars="0"/>
        <w:rPr>
          <w:rFonts w:hint="default"/>
          <w:lang w:val="en-US" w:eastAsia="zh-CN"/>
        </w:rPr>
      </w:pPr>
      <w:bookmarkStart w:id="7" w:name="_Ref8462"/>
      <w:bookmarkStart w:id="8" w:name="_Ref17623"/>
      <w:r>
        <w:rPr>
          <w:rFonts w:hint="default"/>
          <w:lang w:val="en-US" w:eastAsia="zh-CN"/>
        </w:rPr>
        <mc:AlternateContent>
          <mc:Choice Requires="wps">
            <w:drawing>
              <wp:anchor distT="0" distB="0" distL="114300" distR="114300" simplePos="0" relativeHeight="251661312"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7" name="文本框 37"/>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49411175">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4D0AA63">
                            <w:pPr>
                              <w:rPr>
                                <w:rFonts w:eastAsia="宋体" w:cs="Times New Roman"/>
                                <w:szCs w:val="24"/>
                              </w:rPr>
                            </w:pPr>
                          </w:p>
                        </w:txbxContent>
                      </wps:txbx>
                      <wps:bodyPr wrap="square" upright="1"/>
                    </wps:wsp>
                  </a:graphicData>
                </a:graphic>
              </wp:anchor>
            </w:drawing>
          </mc:Choice>
          <mc:Fallback>
            <w:pict>
              <v:shape id="文本框 37" o:spid="_x0000_s1026" o:spt="202" type="#_x0000_t202" style="position:absolute;left:0pt;margin-left:367.45pt;margin-top:-20.4pt;height:32.1pt;width:153.3pt;z-index:251661312;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Ak6hI3MAQAAhgMAAA4AAABkcnMvZTJvRG9jLnhtbK1T&#10;zY7TMBC+I/EOlu806bJq2a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bq4XN3NySfJd&#10;l8vFM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CTqEjcwBAACGAwAADgAAAAAAAAABACAAAAAo&#10;AQAAZHJzL2Uyb0RvYy54bWxQSwUGAAAAAAYABgBZAQAAZgUAAAAA&#10;">
                <v:fill on="t" focussize="0,0"/>
                <v:stroke on="f"/>
                <v:imagedata o:title=""/>
                <o:lock v:ext="edit" aspectratio="f"/>
                <v:textbox>
                  <w:txbxContent>
                    <w:p w14:paraId="49411175">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4D0AA63">
                      <w:pPr>
                        <w:rPr>
                          <w:rFonts w:eastAsia="宋体" w:cs="Times New Roman"/>
                          <w:szCs w:val="24"/>
                        </w:rPr>
                      </w:pPr>
                    </w:p>
                  </w:txbxContent>
                </v:textbox>
              </v:shape>
            </w:pict>
          </mc:Fallback>
        </mc:AlternateContent>
      </w:r>
      <w:r>
        <w:rPr>
          <w:rFonts w:hint="default"/>
          <w:lang w:val="en-US" w:eastAsia="zh-CN"/>
        </w:rPr>
        <w:t>承诺函(</w:t>
      </w:r>
      <w:r>
        <w:rPr>
          <w:rFonts w:hint="eastAsia"/>
          <w:lang w:val="en-US" w:eastAsia="zh-CN"/>
        </w:rPr>
        <w:t>反向竞价</w:t>
      </w:r>
      <w:r>
        <w:rPr>
          <w:rFonts w:hint="default"/>
          <w:lang w:val="en-US" w:eastAsia="zh-CN"/>
        </w:rPr>
        <w:t>方式)</w:t>
      </w:r>
      <w:bookmarkEnd w:id="7"/>
      <w:r>
        <w:rPr>
          <w:rFonts w:hint="default"/>
          <w:lang w:val="en-US" w:eastAsia="zh-CN"/>
        </w:rPr>
        <w:t>（壹式壹份）</w:t>
      </w:r>
    </w:p>
    <w:p w14:paraId="6C9B3D6E">
      <w:pPr>
        <w:spacing w:line="560" w:lineRule="exact"/>
        <w:jc w:val="center"/>
        <w:rPr>
          <w:rFonts w:hint="eastAsia" w:ascii="黑体" w:hAnsi="黑体" w:eastAsia="黑体" w:cs="Times New Roman"/>
          <w:b w:val="0"/>
          <w:kern w:val="44"/>
          <w:sz w:val="28"/>
          <w:szCs w:val="28"/>
          <w:lang w:val="en-US" w:eastAsia="zh-CN" w:bidi="ar-SA"/>
        </w:rPr>
      </w:pPr>
      <w:r>
        <w:rPr>
          <w:rFonts w:hint="eastAsia" w:ascii="黑体" w:hAnsi="黑体" w:eastAsia="黑体" w:cs="Times New Roman"/>
          <w:b w:val="0"/>
          <w:kern w:val="44"/>
          <w:sz w:val="28"/>
          <w:szCs w:val="28"/>
          <w:lang w:val="en-US" w:eastAsia="zh-CN" w:bidi="ar-SA"/>
        </w:rPr>
        <w:t>承诺函</w:t>
      </w:r>
    </w:p>
    <w:p w14:paraId="1752C24F">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按照山东钢铁集团日照有限公司《</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REF 公告名称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日照公司危废物资竞卖</w:t>
      </w:r>
      <w:r>
        <w:rPr>
          <w:rFonts w:hint="default" w:ascii="宋体" w:hAnsi="宋体" w:eastAsia="宋体" w:cs="宋体"/>
          <w:sz w:val="24"/>
          <w:szCs w:val="24"/>
          <w:lang w:val="en-US" w:eastAsia="zh-CN"/>
        </w:rPr>
        <w:t>公告202</w:t>
      </w:r>
      <w:r>
        <w:rPr>
          <w:rFonts w:hint="eastAsia" w:ascii="宋体" w:hAnsi="宋体" w:eastAsia="宋体" w:cs="宋体"/>
          <w:sz w:val="24"/>
          <w:szCs w:val="24"/>
          <w:lang w:val="en-US" w:eastAsia="zh-CN"/>
        </w:rPr>
        <w:t>50321</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rPr>
        <w:t>》的要求，</w:t>
      </w:r>
      <w:r>
        <w:rPr>
          <w:rFonts w:hint="eastAsia" w:ascii="宋体" w:hAnsi="宋体" w:eastAsia="宋体" w:cs="宋体"/>
          <w:sz w:val="24"/>
          <w:szCs w:val="24"/>
          <w:lang w:eastAsia="zh-CN"/>
        </w:rPr>
        <w:t>___________________</w:t>
      </w:r>
      <w:r>
        <w:rPr>
          <w:rFonts w:hint="eastAsia" w:ascii="宋体" w:hAnsi="宋体" w:eastAsia="宋体" w:cs="宋体"/>
          <w:sz w:val="24"/>
          <w:szCs w:val="24"/>
          <w:lang w:val="en-US" w:eastAsia="zh-CN"/>
        </w:rPr>
        <w:t>___________</w:t>
      </w:r>
      <w:r>
        <w:rPr>
          <w:rFonts w:hint="eastAsia" w:ascii="宋体" w:hAnsi="宋体" w:eastAsia="宋体" w:cs="宋体"/>
          <w:sz w:val="24"/>
          <w:szCs w:val="24"/>
        </w:rPr>
        <w:t>公司（以下称：我司）已对现场进行了踏勘，认同货品的品质及现场装车条件。</w:t>
      </w:r>
    </w:p>
    <w:p w14:paraId="00CCB1B6">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我司承诺：确认</w:t>
      </w:r>
      <w:r>
        <w:rPr>
          <w:rFonts w:hint="eastAsia" w:ascii="宋体" w:hAnsi="宋体" w:cs="宋体"/>
          <w:sz w:val="24"/>
          <w:szCs w:val="24"/>
          <w:u w:val="single" w:color="0070C0"/>
          <w:lang w:val="en-US" w:eastAsia="zh-CN"/>
        </w:rPr>
        <w:t>2025</w:t>
      </w:r>
      <w:r>
        <w:rPr>
          <w:rFonts w:hint="eastAsia" w:ascii="宋体" w:hAnsi="宋体" w:eastAsia="宋体" w:cs="宋体"/>
          <w:sz w:val="24"/>
          <w:szCs w:val="24"/>
        </w:rPr>
        <w:t>年</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55F5B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0D7675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有/无分包</w:t>
            </w:r>
          </w:p>
        </w:tc>
        <w:tc>
          <w:tcPr>
            <w:tcW w:w="2678" w:type="dxa"/>
            <w:tcBorders>
              <w:bottom w:val="single" w:color="auto" w:sz="4" w:space="0"/>
            </w:tcBorders>
            <w:noWrap w:val="0"/>
            <w:vAlign w:val="top"/>
          </w:tcPr>
          <w:p w14:paraId="10EDF3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5633" w:type="dxa"/>
            <w:tcBorders>
              <w:bottom w:val="single" w:color="auto" w:sz="4" w:space="0"/>
            </w:tcBorders>
            <w:noWrap w:val="0"/>
            <w:vAlign w:val="top"/>
          </w:tcPr>
          <w:p w14:paraId="143AF1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最终报价</w:t>
            </w:r>
          </w:p>
        </w:tc>
      </w:tr>
      <w:tr w14:paraId="5A6AF3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7E613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c>
          <w:tcPr>
            <w:tcW w:w="2678" w:type="dxa"/>
            <w:tcBorders>
              <w:bottom w:val="single" w:color="auto" w:sz="4" w:space="0"/>
            </w:tcBorders>
            <w:noWrap w:val="0"/>
            <w:vAlign w:val="top"/>
          </w:tcPr>
          <w:p w14:paraId="3229C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c>
          <w:tcPr>
            <w:tcW w:w="5633" w:type="dxa"/>
            <w:tcBorders>
              <w:bottom w:val="single" w:color="auto" w:sz="4" w:space="0"/>
            </w:tcBorders>
            <w:noWrap w:val="0"/>
            <w:vAlign w:val="top"/>
          </w:tcPr>
          <w:p w14:paraId="15704101">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元/吨</w:t>
            </w:r>
          </w:p>
        </w:tc>
      </w:tr>
      <w:tr w14:paraId="7CDC1A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noWrap w:val="0"/>
            <w:vAlign w:val="center"/>
          </w:tcPr>
          <w:p w14:paraId="194ABEE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有分包□</w:t>
            </w:r>
          </w:p>
        </w:tc>
        <w:tc>
          <w:tcPr>
            <w:tcW w:w="2678" w:type="dxa"/>
            <w:tcBorders>
              <w:top w:val="single" w:color="auto" w:sz="4" w:space="0"/>
              <w:left w:val="single" w:color="auto" w:sz="4" w:space="0"/>
              <w:bottom w:val="single" w:color="auto" w:sz="4" w:space="0"/>
              <w:right w:val="single" w:color="auto" w:sz="4" w:space="0"/>
            </w:tcBorders>
            <w:noWrap w:val="0"/>
            <w:vAlign w:val="top"/>
          </w:tcPr>
          <w:p w14:paraId="4E06F168">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A包</w:t>
            </w:r>
          </w:p>
        </w:tc>
        <w:tc>
          <w:tcPr>
            <w:tcW w:w="5633" w:type="dxa"/>
            <w:tcBorders>
              <w:top w:val="single" w:color="auto" w:sz="4" w:space="0"/>
              <w:left w:val="single" w:color="auto" w:sz="4" w:space="0"/>
              <w:bottom w:val="single" w:color="auto" w:sz="4" w:space="0"/>
              <w:right w:val="nil"/>
            </w:tcBorders>
            <w:noWrap w:val="0"/>
            <w:vAlign w:val="top"/>
          </w:tcPr>
          <w:p w14:paraId="754A8BAF">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9FE2B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562E17A1">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0756887E">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B包</w:t>
            </w:r>
          </w:p>
        </w:tc>
        <w:tc>
          <w:tcPr>
            <w:tcW w:w="5633" w:type="dxa"/>
            <w:tcBorders>
              <w:top w:val="single" w:color="auto" w:sz="4" w:space="0"/>
              <w:left w:val="single" w:color="auto" w:sz="4" w:space="0"/>
              <w:bottom w:val="single" w:color="auto" w:sz="4" w:space="0"/>
              <w:right w:val="nil"/>
            </w:tcBorders>
            <w:noWrap w:val="0"/>
            <w:vAlign w:val="top"/>
          </w:tcPr>
          <w:p w14:paraId="57A34F7B">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8A4A6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AFA473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5632F866">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C包</w:t>
            </w:r>
          </w:p>
        </w:tc>
        <w:tc>
          <w:tcPr>
            <w:tcW w:w="5633" w:type="dxa"/>
            <w:tcBorders>
              <w:top w:val="single" w:color="auto" w:sz="4" w:space="0"/>
              <w:left w:val="single" w:color="auto" w:sz="4" w:space="0"/>
              <w:bottom w:val="single" w:color="auto" w:sz="4" w:space="0"/>
              <w:right w:val="nil"/>
            </w:tcBorders>
            <w:noWrap w:val="0"/>
            <w:vAlign w:val="top"/>
          </w:tcPr>
          <w:p w14:paraId="11598515">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35621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87F1C3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E734A28">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D包</w:t>
            </w:r>
          </w:p>
        </w:tc>
        <w:tc>
          <w:tcPr>
            <w:tcW w:w="5633" w:type="dxa"/>
            <w:tcBorders>
              <w:top w:val="single" w:color="auto" w:sz="4" w:space="0"/>
              <w:left w:val="single" w:color="auto" w:sz="4" w:space="0"/>
              <w:bottom w:val="single" w:color="auto" w:sz="4" w:space="0"/>
              <w:right w:val="nil"/>
            </w:tcBorders>
            <w:noWrap w:val="0"/>
            <w:vAlign w:val="top"/>
          </w:tcPr>
          <w:p w14:paraId="203941F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06D87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4B41A1A5">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2A953EB0">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E包</w:t>
            </w:r>
          </w:p>
        </w:tc>
        <w:tc>
          <w:tcPr>
            <w:tcW w:w="5633" w:type="dxa"/>
            <w:tcBorders>
              <w:top w:val="single" w:color="auto" w:sz="4" w:space="0"/>
              <w:left w:val="single" w:color="auto" w:sz="4" w:space="0"/>
              <w:bottom w:val="single" w:color="auto" w:sz="4" w:space="0"/>
              <w:right w:val="nil"/>
            </w:tcBorders>
            <w:noWrap w:val="0"/>
            <w:vAlign w:val="top"/>
          </w:tcPr>
          <w:p w14:paraId="51D04136">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D8254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367F4B23">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913D537">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F包</w:t>
            </w:r>
          </w:p>
        </w:tc>
        <w:tc>
          <w:tcPr>
            <w:tcW w:w="5633" w:type="dxa"/>
            <w:tcBorders>
              <w:top w:val="single" w:color="auto" w:sz="4" w:space="0"/>
              <w:left w:val="single" w:color="auto" w:sz="4" w:space="0"/>
              <w:bottom w:val="single" w:color="auto" w:sz="4" w:space="0"/>
              <w:right w:val="nil"/>
            </w:tcBorders>
            <w:noWrap w:val="0"/>
            <w:vAlign w:val="top"/>
          </w:tcPr>
          <w:p w14:paraId="26CBEE48">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F109C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1A2D458">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8669672">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G包</w:t>
            </w:r>
          </w:p>
        </w:tc>
        <w:tc>
          <w:tcPr>
            <w:tcW w:w="5633" w:type="dxa"/>
            <w:tcBorders>
              <w:top w:val="single" w:color="auto" w:sz="4" w:space="0"/>
              <w:left w:val="single" w:color="auto" w:sz="4" w:space="0"/>
              <w:bottom w:val="single" w:color="auto" w:sz="4" w:space="0"/>
              <w:right w:val="nil"/>
            </w:tcBorders>
            <w:noWrap w:val="0"/>
            <w:vAlign w:val="top"/>
          </w:tcPr>
          <w:p w14:paraId="374EB32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bl>
    <w:p w14:paraId="0FF24075">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em w:val="dot"/>
          <w:lang w:val="en-US" w:eastAsia="zh-CN"/>
        </w:rPr>
        <w:t>*若不涉及，则划去。根据实际在有无分包在方框内画√或者画×。</w:t>
      </w:r>
    </w:p>
    <w:p w14:paraId="0331ED90">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上述报价为含税（</w:t>
      </w:r>
      <w:r>
        <w:rPr>
          <w:rFonts w:hint="eastAsia" w:ascii="宋体" w:hAnsi="宋体" w:eastAsia="宋体" w:cs="宋体"/>
          <w:sz w:val="24"/>
          <w:szCs w:val="24"/>
          <w:lang w:val="en-US" w:eastAsia="zh-CN"/>
        </w:rPr>
        <w:t>6</w:t>
      </w:r>
      <w:r>
        <w:rPr>
          <w:rFonts w:hint="eastAsia" w:ascii="宋体" w:hAnsi="宋体" w:eastAsia="宋体" w:cs="宋体"/>
          <w:sz w:val="24"/>
          <w:szCs w:val="24"/>
        </w:rPr>
        <w:t>%）人民币现汇出厂价格。认同竞卖公告中的所有条款，货品运输使用符合山东钢铁集团日照有限公司环保要求的车辆，并按照卖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550BDC63">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我司同意按照竞卖公告中的要求及上述承诺，承担相应的责任，并向山东钢铁集团日照有限公司缴纳</w:t>
      </w:r>
      <w:r>
        <w:rPr>
          <w:rFonts w:hint="eastAsia" w:ascii="宋体" w:hAnsi="宋体" w:eastAsia="宋体" w:cs="宋体"/>
          <w:sz w:val="24"/>
          <w:szCs w:val="24"/>
          <w:lang w:eastAsia="zh-CN"/>
        </w:rPr>
        <w:t>___________</w:t>
      </w:r>
      <w:r>
        <w:rPr>
          <w:rFonts w:hint="eastAsia" w:ascii="宋体" w:hAnsi="宋体" w:eastAsia="宋体" w:cs="宋体"/>
          <w:sz w:val="24"/>
          <w:szCs w:val="24"/>
        </w:rPr>
        <w:t>元</w:t>
      </w:r>
      <w:r>
        <w:rPr>
          <w:rFonts w:hint="eastAsia" w:ascii="宋体" w:hAnsi="宋体" w:eastAsia="宋体" w:cs="宋体"/>
          <w:sz w:val="24"/>
          <w:szCs w:val="24"/>
          <w:lang w:val="en-US" w:eastAsia="zh-CN"/>
        </w:rPr>
        <w:t>(≥Σ【预中标单价×公告上预估单重×5%】)</w:t>
      </w:r>
      <w:r>
        <w:rPr>
          <w:rFonts w:hint="eastAsia" w:ascii="宋体" w:hAnsi="宋体" w:eastAsia="宋体" w:cs="宋体"/>
          <w:sz w:val="24"/>
          <w:szCs w:val="24"/>
        </w:rPr>
        <w:t>的</w:t>
      </w:r>
      <w:r>
        <w:rPr>
          <w:rFonts w:hint="eastAsia" w:ascii="宋体" w:hAnsi="宋体" w:eastAsia="宋体" w:cs="宋体"/>
          <w:sz w:val="24"/>
          <w:szCs w:val="24"/>
          <w:lang w:val="en-US" w:eastAsia="zh-CN"/>
        </w:rPr>
        <w:t>履约</w:t>
      </w:r>
      <w:r>
        <w:rPr>
          <w:rFonts w:hint="eastAsia" w:ascii="宋体" w:hAnsi="宋体" w:eastAsia="宋体" w:cs="宋体"/>
          <w:sz w:val="24"/>
          <w:szCs w:val="24"/>
        </w:rPr>
        <w:t>保证金。如我司不按时签署合同、缴纳所需款项、违反竞卖公告或已签订合同中的条款，都将按照违约予以处理，并全额扣除该保证金。</w:t>
      </w:r>
    </w:p>
    <w:p w14:paraId="24F1090F">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单位（公章）</w:t>
      </w:r>
    </w:p>
    <w:p w14:paraId="5EABB20E">
      <w:pPr>
        <w:widowControl w:val="0"/>
        <w:spacing w:line="300" w:lineRule="exact"/>
        <w:ind w:left="-178" w:leftChars="-85" w:right="840" w:firstLine="3900" w:firstLineChars="1300"/>
        <w:jc w:val="both"/>
        <w:rPr>
          <w:rFonts w:ascii="仿宋_GB2312" w:hAnsi="仿宋_GB2312" w:eastAsia="仿宋_GB2312" w:cs="仿宋_GB2312"/>
          <w:b w:val="0"/>
          <w:bCs/>
          <w:kern w:val="2"/>
          <w:sz w:val="30"/>
          <w:szCs w:val="30"/>
          <w:lang w:val="en-US" w:eastAsia="zh-CN" w:bidi="ar-SA"/>
        </w:rPr>
      </w:pPr>
    </w:p>
    <w:p w14:paraId="5FA2AA3F">
      <w:pPr>
        <w:widowControl w:val="0"/>
        <w:spacing w:line="300" w:lineRule="exact"/>
        <w:ind w:left="-178" w:leftChars="-85" w:right="840" w:firstLine="3900" w:firstLineChars="1300"/>
        <w:jc w:val="both"/>
        <w:rPr>
          <w:rFonts w:ascii="仿宋_GB2312" w:hAnsi="仿宋_GB2312" w:eastAsia="仿宋_GB2312" w:cs="仿宋_GB2312"/>
          <w:b w:val="0"/>
          <w:bCs/>
          <w:kern w:val="2"/>
          <w:sz w:val="30"/>
          <w:szCs w:val="30"/>
          <w:lang w:val="en-US" w:eastAsia="zh-CN" w:bidi="ar-SA"/>
        </w:rPr>
      </w:pPr>
    </w:p>
    <w:p w14:paraId="1B100180">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仿宋_GB2312" w:hAnsi="仿宋_GB2312" w:eastAsia="仿宋_GB2312" w:cs="仿宋_GB2312"/>
          <w:b w:val="0"/>
          <w:bCs/>
          <w:kern w:val="2"/>
          <w:sz w:val="30"/>
          <w:szCs w:val="30"/>
          <w:lang w:val="en-US" w:eastAsia="zh-CN" w:bidi="ar-SA"/>
        </w:rPr>
      </w:pPr>
      <w:r>
        <w:rPr>
          <w:rFonts w:hint="eastAsia" w:ascii="宋体" w:hAnsi="宋体" w:eastAsia="宋体" w:cs="宋体"/>
          <w:b w:val="0"/>
          <w:bCs w:val="0"/>
          <w:color w:val="auto"/>
          <w:kern w:val="2"/>
          <w:sz w:val="24"/>
          <w:szCs w:val="24"/>
          <w:lang w:val="en-US" w:eastAsia="zh-CN" w:bidi="ar-SA"/>
        </w:rPr>
        <w:t>日期：_____年___月___日</w:t>
      </w:r>
    </w:p>
    <w:p w14:paraId="7DAD1458">
      <w:pPr>
        <w:rPr>
          <w:rFonts w:hint="default"/>
          <w:lang w:val="en-US" w:eastAsia="zh-CN"/>
        </w:rPr>
        <w:sectPr>
          <w:pgSz w:w="11906" w:h="16838"/>
          <w:pgMar w:top="720" w:right="720" w:bottom="720" w:left="720" w:header="851" w:footer="992" w:gutter="0"/>
          <w:pgNumType w:fmt="decimal"/>
          <w:cols w:space="720" w:num="1"/>
          <w:docGrid w:type="lines" w:linePitch="312" w:charSpace="0"/>
        </w:sectPr>
      </w:pPr>
    </w:p>
    <w:p w14:paraId="62AC30A8">
      <w:pPr>
        <w:rPr>
          <w:rFonts w:hint="default"/>
          <w:lang w:val="en-US" w:eastAsia="zh-CN"/>
        </w:rPr>
      </w:pPr>
    </w:p>
    <w:p w14:paraId="7FBFECF0">
      <w:pPr>
        <w:pStyle w:val="28"/>
        <w:bidi w:val="0"/>
        <w:ind w:left="0" w:leftChars="0" w:firstLine="420" w:firstLineChars="0"/>
        <w:rPr>
          <w:rFonts w:hint="default"/>
          <w:lang w:val="en-US" w:eastAsia="zh-CN"/>
        </w:rPr>
      </w:pPr>
      <w:bookmarkStart w:id="9" w:name="_Ref2418"/>
      <w:r>
        <w:rPr>
          <w:rFonts w:hint="eastAsia"/>
          <w:lang w:val="en-US" w:eastAsia="zh-CN"/>
        </w:rPr>
        <w:t>承诺函</w:t>
      </w:r>
      <w:bookmarkEnd w:id="8"/>
      <w:r>
        <w:rPr>
          <w:rFonts w:hint="eastAsia"/>
          <w:lang w:val="en-US" w:eastAsia="zh-CN"/>
        </w:rPr>
        <w:t>(公开增价方式)</w:t>
      </w:r>
      <w:bookmarkEnd w:id="9"/>
      <w:r>
        <w:rPr>
          <w:rFonts w:hint="eastAsia"/>
          <w:lang w:val="en-US" w:eastAsia="zh-CN"/>
        </w:rPr>
        <w:t>（壹式壹份）</w:t>
      </w:r>
      <w:r>
        <w:rPr>
          <w:rFonts w:hint="eastAsia"/>
          <w:lang w:val="en-US" w:eastAsia="zh-CN"/>
        </w:rPr>
        <mc:AlternateContent>
          <mc:Choice Requires="wps">
            <w:drawing>
              <wp:anchor distT="0" distB="0" distL="114300" distR="114300" simplePos="0" relativeHeight="251662336" behindDoc="0" locked="0" layoutInCell="1" allowOverlap="1">
                <wp:simplePos x="0" y="0"/>
                <wp:positionH relativeFrom="column">
                  <wp:posOffset>4666615</wp:posOffset>
                </wp:positionH>
                <wp:positionV relativeFrom="paragraph">
                  <wp:posOffset>-457200</wp:posOffset>
                </wp:positionV>
                <wp:extent cx="1946910" cy="407670"/>
                <wp:effectExtent l="0" t="0" r="8890" b="11430"/>
                <wp:wrapNone/>
                <wp:docPr id="8" name="文本框 38"/>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734EEAE0">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1870CAB9">
                            <w:pPr>
                              <w:rPr>
                                <w:rFonts w:eastAsia="宋体" w:cs="Times New Roman"/>
                                <w:szCs w:val="24"/>
                              </w:rPr>
                            </w:pPr>
                          </w:p>
                        </w:txbxContent>
                      </wps:txbx>
                      <wps:bodyPr wrap="square" upright="1"/>
                    </wps:wsp>
                  </a:graphicData>
                </a:graphic>
              </wp:anchor>
            </w:drawing>
          </mc:Choice>
          <mc:Fallback>
            <w:pict>
              <v:shape id="文本框 38" o:spid="_x0000_s1026" o:spt="202" type="#_x0000_t202" style="position:absolute;left:0pt;margin-left:367.45pt;margin-top:-36pt;height:32.1pt;width:153.3pt;z-index:251662336;mso-width-relative:page;mso-height-relative:page;" fillcolor="#FFFFFF" filled="t" stroked="f" coordsize="21600,21600" o:gfxdata="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LGWO2AAAAAsBAAAPAAAAAAAAAAEAIAAAACIAAABk&#10;cnMvZG93bnJldi54bWxQSwECFAAUAAAACACHTuJAi3ctm80BAACGAwAADgAAAAAAAAABACAAAAAn&#10;AQAAZHJzL2Uyb0RvYy54bWxQSwUGAAAAAAYABgBZAQAAZgUAAAAA&#10;">
                <v:fill on="t" focussize="0,0"/>
                <v:stroke on="f"/>
                <v:imagedata o:title=""/>
                <o:lock v:ext="edit" aspectratio="f"/>
                <v:textbox>
                  <w:txbxContent>
                    <w:p w14:paraId="734EEAE0">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1870CAB9">
                      <w:pPr>
                        <w:rPr>
                          <w:rFonts w:eastAsia="宋体" w:cs="Times New Roman"/>
                          <w:szCs w:val="24"/>
                        </w:rPr>
                      </w:pPr>
                    </w:p>
                  </w:txbxContent>
                </v:textbox>
              </v:shape>
            </w:pict>
          </mc:Fallback>
        </mc:AlternateContent>
      </w:r>
    </w:p>
    <w:p w14:paraId="5F655749">
      <w:pPr>
        <w:spacing w:line="560" w:lineRule="exact"/>
        <w:jc w:val="center"/>
        <w:rPr>
          <w:rFonts w:hint="eastAsia" w:ascii="黑体" w:hAnsi="黑体" w:eastAsia="黑体" w:cs="Times New Roman"/>
          <w:b w:val="0"/>
          <w:kern w:val="44"/>
          <w:sz w:val="28"/>
          <w:szCs w:val="28"/>
          <w:lang w:val="en-US" w:eastAsia="zh-CN" w:bidi="ar-SA"/>
        </w:rPr>
      </w:pPr>
      <w:r>
        <w:rPr>
          <w:rFonts w:hint="eastAsia" w:ascii="黑体" w:hAnsi="黑体" w:eastAsia="黑体" w:cs="Times New Roman"/>
          <w:b w:val="0"/>
          <w:kern w:val="44"/>
          <w:sz w:val="28"/>
          <w:szCs w:val="28"/>
          <w:lang w:val="en-US" w:eastAsia="zh-CN" w:bidi="ar-SA"/>
        </w:rPr>
        <w:t>承诺函</w:t>
      </w:r>
    </w:p>
    <w:p w14:paraId="27919DD4">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按照山东钢铁集团日照有限公司《</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REF 公告名称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日照公司危废物资竞卖</w:t>
      </w:r>
      <w:r>
        <w:rPr>
          <w:rFonts w:hint="default" w:ascii="宋体" w:hAnsi="宋体" w:eastAsia="宋体" w:cs="宋体"/>
          <w:sz w:val="24"/>
          <w:szCs w:val="24"/>
          <w:lang w:val="en-US" w:eastAsia="zh-CN"/>
        </w:rPr>
        <w:t>公告202</w:t>
      </w:r>
      <w:r>
        <w:rPr>
          <w:rFonts w:hint="eastAsia" w:ascii="宋体" w:hAnsi="宋体" w:eastAsia="宋体" w:cs="宋体"/>
          <w:sz w:val="24"/>
          <w:szCs w:val="24"/>
          <w:lang w:val="en-US" w:eastAsia="zh-CN"/>
        </w:rPr>
        <w:t>50321</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rPr>
        <w:t>》的要求，</w:t>
      </w:r>
      <w:r>
        <w:rPr>
          <w:rFonts w:hint="eastAsia" w:ascii="宋体" w:hAnsi="宋体" w:eastAsia="宋体" w:cs="宋体"/>
          <w:sz w:val="24"/>
          <w:szCs w:val="24"/>
          <w:lang w:eastAsia="zh-CN"/>
        </w:rPr>
        <w:t>___________________</w:t>
      </w:r>
      <w:r>
        <w:rPr>
          <w:rFonts w:hint="eastAsia" w:ascii="宋体" w:hAnsi="宋体" w:eastAsia="宋体" w:cs="宋体"/>
          <w:sz w:val="24"/>
          <w:szCs w:val="24"/>
          <w:lang w:val="en-US" w:eastAsia="zh-CN"/>
        </w:rPr>
        <w:t>___________</w:t>
      </w:r>
      <w:r>
        <w:rPr>
          <w:rFonts w:hint="eastAsia" w:ascii="宋体" w:hAnsi="宋体" w:eastAsia="宋体" w:cs="宋体"/>
          <w:sz w:val="24"/>
          <w:szCs w:val="24"/>
        </w:rPr>
        <w:t>公司（以下称：我司）已对现场进行了踏勘，认同货品的品质及现场装车条件。</w:t>
      </w:r>
    </w:p>
    <w:p w14:paraId="38B18130">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我司承诺：确认</w:t>
      </w:r>
      <w:r>
        <w:rPr>
          <w:rFonts w:hint="eastAsia" w:ascii="宋体" w:hAnsi="宋体" w:cs="宋体"/>
          <w:sz w:val="24"/>
          <w:szCs w:val="24"/>
          <w:u w:val="single" w:color="0070C0"/>
          <w:lang w:val="en-US" w:eastAsia="zh-CN"/>
        </w:rPr>
        <w:t>2025</w:t>
      </w:r>
      <w:r>
        <w:rPr>
          <w:rFonts w:hint="eastAsia" w:ascii="宋体" w:hAnsi="宋体" w:eastAsia="宋体" w:cs="宋体"/>
          <w:sz w:val="24"/>
          <w:szCs w:val="24"/>
        </w:rPr>
        <w:t>年</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3F1813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2F2B93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有/无分包</w:t>
            </w:r>
          </w:p>
        </w:tc>
        <w:tc>
          <w:tcPr>
            <w:tcW w:w="2678" w:type="dxa"/>
            <w:tcBorders>
              <w:bottom w:val="single" w:color="auto" w:sz="4" w:space="0"/>
            </w:tcBorders>
            <w:noWrap w:val="0"/>
            <w:vAlign w:val="top"/>
          </w:tcPr>
          <w:p w14:paraId="7F59B5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5633" w:type="dxa"/>
            <w:tcBorders>
              <w:bottom w:val="single" w:color="auto" w:sz="4" w:space="0"/>
            </w:tcBorders>
            <w:noWrap w:val="0"/>
            <w:vAlign w:val="top"/>
          </w:tcPr>
          <w:p w14:paraId="65FCF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最终报价</w:t>
            </w:r>
          </w:p>
        </w:tc>
      </w:tr>
      <w:tr w14:paraId="6A0AA2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48B9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c>
          <w:tcPr>
            <w:tcW w:w="2678" w:type="dxa"/>
            <w:tcBorders>
              <w:bottom w:val="single" w:color="auto" w:sz="4" w:space="0"/>
            </w:tcBorders>
            <w:noWrap w:val="0"/>
            <w:vAlign w:val="top"/>
          </w:tcPr>
          <w:p w14:paraId="2F4751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c>
          <w:tcPr>
            <w:tcW w:w="5633" w:type="dxa"/>
            <w:tcBorders>
              <w:bottom w:val="single" w:color="auto" w:sz="4" w:space="0"/>
            </w:tcBorders>
            <w:noWrap w:val="0"/>
            <w:vAlign w:val="top"/>
          </w:tcPr>
          <w:p w14:paraId="365D09D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元/吨</w:t>
            </w:r>
          </w:p>
        </w:tc>
      </w:tr>
      <w:tr w14:paraId="0FCEC1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noWrap w:val="0"/>
            <w:vAlign w:val="center"/>
          </w:tcPr>
          <w:p w14:paraId="7E8CDAFA">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有分包□</w:t>
            </w:r>
          </w:p>
        </w:tc>
        <w:tc>
          <w:tcPr>
            <w:tcW w:w="2678" w:type="dxa"/>
            <w:tcBorders>
              <w:top w:val="single" w:color="auto" w:sz="4" w:space="0"/>
              <w:left w:val="single" w:color="auto" w:sz="4" w:space="0"/>
              <w:bottom w:val="single" w:color="auto" w:sz="4" w:space="0"/>
              <w:right w:val="single" w:color="auto" w:sz="4" w:space="0"/>
            </w:tcBorders>
            <w:noWrap w:val="0"/>
            <w:vAlign w:val="top"/>
          </w:tcPr>
          <w:p w14:paraId="5704187C">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A包</w:t>
            </w:r>
          </w:p>
        </w:tc>
        <w:tc>
          <w:tcPr>
            <w:tcW w:w="5633" w:type="dxa"/>
            <w:tcBorders>
              <w:top w:val="single" w:color="auto" w:sz="4" w:space="0"/>
              <w:left w:val="single" w:color="auto" w:sz="4" w:space="0"/>
              <w:bottom w:val="single" w:color="auto" w:sz="4" w:space="0"/>
              <w:right w:val="nil"/>
            </w:tcBorders>
            <w:noWrap w:val="0"/>
            <w:vAlign w:val="top"/>
          </w:tcPr>
          <w:p w14:paraId="527EBF6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8C247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52C503BA">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1F56C284">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B包</w:t>
            </w:r>
          </w:p>
        </w:tc>
        <w:tc>
          <w:tcPr>
            <w:tcW w:w="5633" w:type="dxa"/>
            <w:tcBorders>
              <w:top w:val="single" w:color="auto" w:sz="4" w:space="0"/>
              <w:left w:val="single" w:color="auto" w:sz="4" w:space="0"/>
              <w:bottom w:val="single" w:color="auto" w:sz="4" w:space="0"/>
              <w:right w:val="nil"/>
            </w:tcBorders>
            <w:noWrap w:val="0"/>
            <w:vAlign w:val="top"/>
          </w:tcPr>
          <w:p w14:paraId="5BA0B26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351A5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0ED76C1">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7D00CBFB">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C包</w:t>
            </w:r>
          </w:p>
        </w:tc>
        <w:tc>
          <w:tcPr>
            <w:tcW w:w="5633" w:type="dxa"/>
            <w:tcBorders>
              <w:top w:val="single" w:color="auto" w:sz="4" w:space="0"/>
              <w:left w:val="single" w:color="auto" w:sz="4" w:space="0"/>
              <w:bottom w:val="single" w:color="auto" w:sz="4" w:space="0"/>
              <w:right w:val="nil"/>
            </w:tcBorders>
            <w:noWrap w:val="0"/>
            <w:vAlign w:val="top"/>
          </w:tcPr>
          <w:p w14:paraId="4308946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882DF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4C56406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3C2851E2">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D包</w:t>
            </w:r>
          </w:p>
        </w:tc>
        <w:tc>
          <w:tcPr>
            <w:tcW w:w="5633" w:type="dxa"/>
            <w:tcBorders>
              <w:top w:val="single" w:color="auto" w:sz="4" w:space="0"/>
              <w:left w:val="single" w:color="auto" w:sz="4" w:space="0"/>
              <w:bottom w:val="single" w:color="auto" w:sz="4" w:space="0"/>
              <w:right w:val="nil"/>
            </w:tcBorders>
            <w:noWrap w:val="0"/>
            <w:vAlign w:val="top"/>
          </w:tcPr>
          <w:p w14:paraId="5A89F78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272970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28BED17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C0DB935">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E包</w:t>
            </w:r>
          </w:p>
        </w:tc>
        <w:tc>
          <w:tcPr>
            <w:tcW w:w="5633" w:type="dxa"/>
            <w:tcBorders>
              <w:top w:val="single" w:color="auto" w:sz="4" w:space="0"/>
              <w:left w:val="single" w:color="auto" w:sz="4" w:space="0"/>
              <w:bottom w:val="single" w:color="auto" w:sz="4" w:space="0"/>
              <w:right w:val="nil"/>
            </w:tcBorders>
            <w:noWrap w:val="0"/>
            <w:vAlign w:val="top"/>
          </w:tcPr>
          <w:p w14:paraId="1264091A">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BA8EC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C965918">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4F67406">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F包</w:t>
            </w:r>
          </w:p>
        </w:tc>
        <w:tc>
          <w:tcPr>
            <w:tcW w:w="5633" w:type="dxa"/>
            <w:tcBorders>
              <w:top w:val="single" w:color="auto" w:sz="4" w:space="0"/>
              <w:left w:val="single" w:color="auto" w:sz="4" w:space="0"/>
              <w:bottom w:val="single" w:color="auto" w:sz="4" w:space="0"/>
              <w:right w:val="nil"/>
            </w:tcBorders>
            <w:noWrap w:val="0"/>
            <w:vAlign w:val="top"/>
          </w:tcPr>
          <w:p w14:paraId="1FD7510D">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58742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EC7B586">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9E4560F">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G包</w:t>
            </w:r>
          </w:p>
        </w:tc>
        <w:tc>
          <w:tcPr>
            <w:tcW w:w="5633" w:type="dxa"/>
            <w:tcBorders>
              <w:top w:val="single" w:color="auto" w:sz="4" w:space="0"/>
              <w:left w:val="single" w:color="auto" w:sz="4" w:space="0"/>
              <w:bottom w:val="single" w:color="auto" w:sz="4" w:space="0"/>
              <w:right w:val="nil"/>
            </w:tcBorders>
            <w:noWrap w:val="0"/>
            <w:vAlign w:val="top"/>
          </w:tcPr>
          <w:p w14:paraId="6EDAADA2">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bl>
    <w:p w14:paraId="67789379">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em w:val="dot"/>
          <w:lang w:val="en-US" w:eastAsia="zh-CN"/>
        </w:rPr>
      </w:pPr>
      <w:r>
        <w:rPr>
          <w:rFonts w:hint="eastAsia" w:ascii="宋体" w:hAnsi="宋体" w:eastAsia="宋体" w:cs="宋体"/>
          <w:sz w:val="24"/>
          <w:szCs w:val="24"/>
          <w:em w:val="dot"/>
          <w:lang w:val="en-US" w:eastAsia="zh-CN"/>
        </w:rPr>
        <w:t>*若不涉及，则划去。根据实际在有无分包在方框内画√或者画×。</w:t>
      </w:r>
    </w:p>
    <w:p w14:paraId="2FEBD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报价为含税（13%）人民币现汇出厂价格。认同竞卖公告中的所有条款，货品运输使用符合山东钢铁集团日照有限公司环保要求的车辆，并按照买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19B3E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我司同意按照竞卖公告中的要求及上述承诺，承担相应的责任，</w:t>
      </w:r>
      <w:r>
        <w:rPr>
          <w:rFonts w:hint="eastAsia" w:ascii="宋体" w:hAnsi="宋体" w:eastAsia="宋体" w:cs="宋体"/>
          <w:sz w:val="24"/>
          <w:szCs w:val="24"/>
          <w:lang w:val="en-US" w:eastAsia="zh-CN"/>
        </w:rPr>
        <w:t>于开标日当天16:00前，</w:t>
      </w:r>
      <w:r>
        <w:rPr>
          <w:rFonts w:hint="eastAsia" w:ascii="宋体" w:hAnsi="宋体" w:eastAsia="宋体" w:cs="宋体"/>
          <w:sz w:val="24"/>
          <w:szCs w:val="24"/>
        </w:rPr>
        <w:t>向山东钢铁集团日照有限公司缴纳</w:t>
      </w:r>
      <w:r>
        <w:rPr>
          <w:rFonts w:hint="eastAsia" w:ascii="宋体" w:hAnsi="宋体" w:eastAsia="宋体" w:cs="宋体"/>
          <w:sz w:val="24"/>
          <w:szCs w:val="24"/>
          <w:lang w:eastAsia="zh-CN"/>
        </w:rPr>
        <w:t>___________</w:t>
      </w:r>
      <w:r>
        <w:rPr>
          <w:rFonts w:hint="eastAsia" w:ascii="宋体" w:hAnsi="宋体" w:eastAsia="宋体" w:cs="宋体"/>
          <w:sz w:val="24"/>
          <w:szCs w:val="24"/>
        </w:rPr>
        <w:t>元</w:t>
      </w:r>
      <w:r>
        <w:rPr>
          <w:rFonts w:hint="eastAsia" w:ascii="宋体" w:hAnsi="宋体" w:eastAsia="宋体" w:cs="宋体"/>
          <w:sz w:val="24"/>
          <w:szCs w:val="24"/>
          <w:lang w:val="en-US" w:eastAsia="zh-CN"/>
        </w:rPr>
        <w:t>(≥Σ【预中标单价×公告上预估单重×20%】)</w:t>
      </w:r>
      <w:r>
        <w:rPr>
          <w:rFonts w:hint="eastAsia" w:ascii="宋体" w:hAnsi="宋体" w:eastAsia="宋体" w:cs="宋体"/>
          <w:sz w:val="24"/>
          <w:szCs w:val="24"/>
        </w:rPr>
        <w:t>的预付订金。如我司不按时签署合同，缴纳所需款项，违反竞买公告及已签订合同中的条款，都将按照违约予以处理，并全额扣除该预付订金。</w:t>
      </w:r>
    </w:p>
    <w:p w14:paraId="16BF43E8">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both"/>
        <w:textAlignment w:val="auto"/>
        <w:rPr>
          <w:rFonts w:hint="eastAsia" w:ascii="宋体" w:hAnsi="宋体" w:eastAsia="宋体" w:cs="宋体"/>
          <w:b w:val="0"/>
          <w:bCs/>
          <w:color w:val="auto"/>
          <w:kern w:val="2"/>
          <w:sz w:val="24"/>
          <w:szCs w:val="24"/>
          <w:lang w:val="en-US" w:eastAsia="zh-CN" w:bidi="ar-SA"/>
        </w:rPr>
      </w:pPr>
    </w:p>
    <w:p w14:paraId="4F085592">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单位（公章）</w:t>
      </w:r>
    </w:p>
    <w:p w14:paraId="2218C5C0">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b w:val="0"/>
          <w:bCs w:val="0"/>
          <w:color w:val="auto"/>
          <w:kern w:val="2"/>
          <w:sz w:val="21"/>
          <w:szCs w:val="20"/>
          <w:lang w:val="en-US" w:eastAsia="zh-CN" w:bidi="ar-SA"/>
        </w:rPr>
      </w:pPr>
      <w:r>
        <w:rPr>
          <w:rFonts w:hint="eastAsia" w:ascii="宋体" w:hAnsi="宋体" w:eastAsia="宋体" w:cs="宋体"/>
          <w:b w:val="0"/>
          <w:bCs w:val="0"/>
          <w:color w:val="auto"/>
          <w:kern w:val="2"/>
          <w:sz w:val="24"/>
          <w:szCs w:val="24"/>
          <w:lang w:val="en-US" w:eastAsia="zh-CN" w:bidi="ar-SA"/>
        </w:rPr>
        <w:t>日期：_____年___月___日</w:t>
      </w:r>
    </w:p>
    <w:p w14:paraId="0B899F07">
      <w:pPr>
        <w:keepNext w:val="0"/>
        <w:keepLines w:val="0"/>
        <w:pageBreakBefore w:val="0"/>
        <w:widowControl w:val="0"/>
        <w:kinsoku/>
        <w:wordWrap w:val="0"/>
        <w:overflowPunct/>
        <w:topLinePunct w:val="0"/>
        <w:autoSpaceDE/>
        <w:autoSpaceDN/>
        <w:bidi w:val="0"/>
        <w:adjustRightInd/>
        <w:spacing w:line="520" w:lineRule="exact"/>
        <w:ind w:right="0" w:firstLine="4480" w:firstLineChars="1400"/>
        <w:jc w:val="both"/>
        <w:textAlignment w:val="auto"/>
        <w:rPr>
          <w:rFonts w:hint="default" w:ascii="仿宋_GB2312" w:hAnsi="宋体" w:eastAsia="仿宋_GB2312" w:cs="仿宋_GB2312"/>
          <w:kern w:val="0"/>
          <w:sz w:val="32"/>
          <w:szCs w:val="32"/>
          <w:lang w:val="en-US" w:eastAsia="zh-CN"/>
        </w:rPr>
        <w:sectPr>
          <w:pgSz w:w="11906" w:h="16838"/>
          <w:pgMar w:top="720" w:right="720" w:bottom="720" w:left="720" w:header="851" w:footer="992" w:gutter="0"/>
          <w:pgNumType w:fmt="decimal"/>
          <w:cols w:space="720" w:num="1"/>
          <w:docGrid w:type="lines" w:linePitch="312" w:charSpace="0"/>
        </w:sectPr>
      </w:pPr>
    </w:p>
    <w:p w14:paraId="2B36B964">
      <w:pPr>
        <w:pStyle w:val="28"/>
        <w:bidi w:val="0"/>
        <w:ind w:left="0" w:leftChars="0" w:firstLine="420" w:firstLineChars="0"/>
        <w:rPr>
          <w:rFonts w:hint="eastAsia"/>
          <w:lang w:val="en-US" w:eastAsia="zh-CN"/>
        </w:rPr>
      </w:pPr>
      <w:bookmarkStart w:id="10" w:name="_Ref17633"/>
      <w:r>
        <w:rPr>
          <w:rFonts w:hint="eastAsia"/>
          <w:lang w:val="en-US" w:eastAsia="zh-CN"/>
        </w:rPr>
        <mc:AlternateContent>
          <mc:Choice Requires="wps">
            <w:drawing>
              <wp:anchor distT="0" distB="0" distL="114300" distR="114300" simplePos="0" relativeHeight="251659264" behindDoc="0" locked="0" layoutInCell="1" allowOverlap="1">
                <wp:simplePos x="0" y="0"/>
                <wp:positionH relativeFrom="column">
                  <wp:posOffset>4763770</wp:posOffset>
                </wp:positionH>
                <wp:positionV relativeFrom="paragraph">
                  <wp:posOffset>-259080</wp:posOffset>
                </wp:positionV>
                <wp:extent cx="1946910" cy="407670"/>
                <wp:effectExtent l="0" t="0" r="8890" b="11430"/>
                <wp:wrapNone/>
                <wp:docPr id="3" name="文本框 31"/>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442DD33A">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壹式叁份，正反单张打印</w:t>
                            </w:r>
                          </w:p>
                          <w:p w14:paraId="2B382E28">
                            <w:pPr>
                              <w:rPr>
                                <w:rFonts w:eastAsia="宋体" w:cs="Times New Roman"/>
                                <w:szCs w:val="24"/>
                              </w:rPr>
                            </w:pPr>
                          </w:p>
                        </w:txbxContent>
                      </wps:txbx>
                      <wps:bodyPr wrap="square" upright="1"/>
                    </wps:wsp>
                  </a:graphicData>
                </a:graphic>
              </wp:anchor>
            </w:drawing>
          </mc:Choice>
          <mc:Fallback>
            <w:pict>
              <v:shape id="文本框 31" o:spid="_x0000_s1026" o:spt="202" type="#_x0000_t202" style="position:absolute;left:0pt;margin-left:375.1pt;margin-top:-20.4pt;height:32.1pt;width:153.3pt;z-index:251659264;mso-width-relative:page;mso-height-relative:page;" fillcolor="#FFFFFF" filled="t" stroked="f" coordsize="21600,21600" o:gfxdata="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bdpedkAAAALAQAADwAAAAAAAAABACAAAAAiAAAA&#10;ZHJzL2Rvd25yZXYueG1sUEsBAhQAFAAAAAgAh07iQHWeUmnNAQAAhgMAAA4AAAAAAAAAAQAgAAAA&#10;KAEAAGRycy9lMm9Eb2MueG1sUEsFBgAAAAAGAAYAWQEAAGcFAAAAAA==&#10;">
                <v:fill on="t" focussize="0,0"/>
                <v:stroke on="f"/>
                <v:imagedata o:title=""/>
                <o:lock v:ext="edit" aspectratio="f"/>
                <v:textbox>
                  <w:txbxContent>
                    <w:p w14:paraId="442DD33A">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壹式叁份，正反单张打印</w:t>
                      </w:r>
                    </w:p>
                    <w:p w14:paraId="2B382E28">
                      <w:pPr>
                        <w:rPr>
                          <w:rFonts w:eastAsia="宋体" w:cs="Times New Roman"/>
                          <w:szCs w:val="24"/>
                        </w:rPr>
                      </w:pPr>
                    </w:p>
                  </w:txbxContent>
                </v:textbox>
              </v:shape>
            </w:pict>
          </mc:Fallback>
        </mc:AlternateContent>
      </w:r>
      <w:r>
        <w:rPr>
          <w:rFonts w:hint="eastAsia"/>
          <w:lang w:val="en-US" w:eastAsia="zh-CN"/>
        </w:rPr>
        <w:t>廉洁诚信协议</w:t>
      </w:r>
      <w:bookmarkEnd w:id="10"/>
      <w:r>
        <w:rPr>
          <w:rFonts w:hint="eastAsia"/>
          <w:lang w:val="en-US" w:eastAsia="zh-CN"/>
        </w:rPr>
        <w:t>（壹式叁份）</w:t>
      </w:r>
    </w:p>
    <w:p w14:paraId="22351118">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甲方：</w:t>
      </w:r>
      <w:r>
        <w:rPr>
          <w:rFonts w:hint="eastAsia" w:ascii="宋体" w:hAnsi="宋体" w:eastAsia="宋体" w:cs="宋体"/>
          <w:sz w:val="20"/>
          <w:szCs w:val="20"/>
          <w:lang w:val="en-US" w:eastAsia="zh-CN"/>
        </w:rPr>
        <w:t>山东钢铁集团日照有限公司</w:t>
      </w:r>
    </w:p>
    <w:p w14:paraId="33498E89">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default" w:ascii="宋体" w:hAnsi="宋体" w:eastAsia="宋体" w:cs="宋体"/>
          <w:sz w:val="20"/>
          <w:szCs w:val="20"/>
          <w:lang w:val="en-US" w:eastAsia="zh-CN"/>
        </w:rPr>
      </w:pPr>
      <w:r>
        <w:rPr>
          <w:rFonts w:hint="eastAsia" w:ascii="宋体" w:hAnsi="宋体" w:eastAsia="宋体" w:cs="宋体"/>
          <w:sz w:val="20"/>
          <w:szCs w:val="20"/>
        </w:rPr>
        <w:t>乙方：</w:t>
      </w:r>
      <w:r>
        <w:rPr>
          <w:rFonts w:hint="eastAsia" w:ascii="宋体" w:hAnsi="宋体" w:eastAsia="宋体" w:cs="宋体"/>
          <w:sz w:val="20"/>
          <w:szCs w:val="20"/>
          <w:lang w:val="en-US" w:eastAsia="zh-CN"/>
        </w:rPr>
        <w:t>_____________________________________</w:t>
      </w:r>
    </w:p>
    <w:p w14:paraId="6AB1A80E">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lang w:eastAsia="zh-CN"/>
        </w:rPr>
      </w:pPr>
      <w:r>
        <w:rPr>
          <w:rFonts w:hint="eastAsia" w:ascii="宋体" w:hAnsi="宋体" w:eastAsia="宋体" w:cs="宋体"/>
          <w:sz w:val="20"/>
          <w:szCs w:val="20"/>
        </w:rPr>
        <w:t>为树立廉洁诚信的良好风气，预防商业贿赂和不正当竞争行为，彻底铲除腐败滋生的土壤和条件，杜绝发生违法违纪案件，维护甲乙双方的正当合法权益，促使双方在公平、公正、透明、高效的良性竞争环境下达成共赢，根据山东省纪委办公厅印发的《政商交往负面清单》与国家法律法规、廉政建设等有关规定，经甲乙双方协商同意，自愿在合作期间签订并共同遵守本协议</w:t>
      </w:r>
      <w:r>
        <w:rPr>
          <w:rFonts w:hint="eastAsia" w:ascii="宋体" w:hAnsi="宋体" w:eastAsia="宋体" w:cs="宋体"/>
          <w:sz w:val="20"/>
          <w:szCs w:val="20"/>
          <w:lang w:eastAsia="zh-CN"/>
        </w:rPr>
        <w:t>。</w:t>
      </w:r>
    </w:p>
    <w:p w14:paraId="21662347">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lang w:val="en-US" w:eastAsia="zh-CN"/>
        </w:rPr>
        <w:t>第一条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双方在合作过程中应当自觉遵守法律法规和公认的商业道德，恪守职业道德规范，开展正常商业交易活动，主动抵制不廉洁与不诚信行为。本条“不廉洁与不诚信行为”是指为获取商业机会或竞争优势及其它利益从而实施的违反法律规定、党纪及社会道德行为，包括不限于：</w:t>
      </w:r>
    </w:p>
    <w:p w14:paraId="33452C7C">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（１）</w:t>
      </w:r>
      <w:r>
        <w:rPr>
          <w:rFonts w:hint="eastAsia" w:ascii="宋体" w:hAnsi="宋体" w:eastAsia="宋体" w:cs="宋体"/>
          <w:sz w:val="20"/>
          <w:szCs w:val="20"/>
        </w:rPr>
        <w:t>商业贿赂，为了谋取商业利益，向有关人员提供财物或其他好处。</w:t>
      </w:r>
    </w:p>
    <w:p w14:paraId="43D670A6">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（２）</w:t>
      </w:r>
      <w:r>
        <w:rPr>
          <w:rFonts w:hint="eastAsia" w:ascii="宋体" w:hAnsi="宋体" w:eastAsia="宋体" w:cs="宋体"/>
          <w:sz w:val="20"/>
          <w:szCs w:val="20"/>
        </w:rPr>
        <w:t>假冒伪劣，冒充正品、仿制名牌、虚假宣传等欺骗行为。</w:t>
      </w:r>
    </w:p>
    <w:p w14:paraId="0002E88F">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（３）</w:t>
      </w:r>
      <w:r>
        <w:rPr>
          <w:rFonts w:hint="eastAsia" w:ascii="宋体" w:hAnsi="宋体" w:eastAsia="宋体" w:cs="宋体"/>
          <w:sz w:val="20"/>
          <w:szCs w:val="20"/>
        </w:rPr>
        <w:t>欺诈行为，通过虚假的陈述、承诺或行为，破坏商业信任，获取非法收益。</w:t>
      </w:r>
    </w:p>
    <w:p w14:paraId="550F4E61">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（４）</w:t>
      </w:r>
      <w:r>
        <w:rPr>
          <w:rFonts w:hint="eastAsia" w:ascii="宋体" w:hAnsi="宋体" w:eastAsia="宋体" w:cs="宋体"/>
          <w:sz w:val="20"/>
          <w:szCs w:val="20"/>
        </w:rPr>
        <w:t>不履行合同，签订合同后不按照约定履行义务或拒绝履行合同。</w:t>
      </w:r>
    </w:p>
    <w:p w14:paraId="2BCCC416">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（５）</w:t>
      </w:r>
      <w:r>
        <w:rPr>
          <w:rFonts w:hint="eastAsia" w:ascii="宋体" w:hAnsi="宋体" w:eastAsia="宋体" w:cs="宋体"/>
          <w:sz w:val="20"/>
          <w:szCs w:val="20"/>
        </w:rPr>
        <w:t>不正当竞争，为获取商业机会，在招标中实施陪标、串标，提供虚假信息、违反承诺等行为。</w:t>
      </w:r>
    </w:p>
    <w:p w14:paraId="3DCD5EA9">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（６）</w:t>
      </w:r>
      <w:r>
        <w:rPr>
          <w:rFonts w:hint="eastAsia" w:ascii="宋体" w:hAnsi="宋体" w:eastAsia="宋体" w:cs="宋体"/>
          <w:sz w:val="20"/>
          <w:szCs w:val="20"/>
        </w:rPr>
        <w:t>其他违法违纪行为。</w:t>
      </w:r>
    </w:p>
    <w:p w14:paraId="3CD66273">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lang w:val="en-US" w:eastAsia="zh-CN"/>
        </w:rPr>
        <w:t>第二条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甲乙双方及其工作人员在合作过程中，不得有下列行为：</w:t>
      </w:r>
    </w:p>
    <w:p w14:paraId="2460B37B">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（一）不廉洁行为及约定</w:t>
      </w:r>
    </w:p>
    <w:p w14:paraId="768BCB00">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一方或一方单位工作人员（包括通过第三方）不得给予对方客户、对方员工及对方员工家属等利害相关人一切物质及精神上的直接或间接的不正当利益，包括物质性利益和非物质性利益。物质性利益是指能够直接用金钱价值加以衡量的利益，包括但不限于回扣、贿赂、私下佣金、借款、实物、现金或现金等价物（如：购物卡、提货券及其它形态的有价礼券或证券等）、支票及财产性权益、旅游、宴请、免费消费。非物质性利益是指难以直接用经济或金钱价值加以衡量的能满足人们需求和欲望的精神利益和其他不正当利益，是物质性利益以外的权益、优惠、便利以及其它好处，包括但不限于给予解决住房机会、迁移户口、调动工作、提拔职务、安排出国留学、享受免费的服务等方面的利益，以及给予荣誉、名誉、称号、资格、地位、特权。具体包括但不限于下列行为：</w:t>
      </w:r>
    </w:p>
    <w:p w14:paraId="1838C9C6">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（１）</w:t>
      </w:r>
      <w:r>
        <w:rPr>
          <w:rFonts w:hint="eastAsia" w:ascii="宋体" w:hAnsi="宋体" w:eastAsia="宋体" w:cs="宋体"/>
          <w:sz w:val="20"/>
          <w:szCs w:val="20"/>
        </w:rPr>
        <w:t>不得向对方单位或个人及其家属、特定关系人等实施或索取商业贿赂；不得向对方及其工作人员赠送或索要现金、回扣、红包、佣金、好处费、感谢费、有价证券、股权、金融性产品、贵金属等财物或烟酒、土特产、钟表首饰、玉石字画等实物。</w:t>
      </w:r>
    </w:p>
    <w:p w14:paraId="121C54D0">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（２）</w:t>
      </w:r>
      <w:r>
        <w:rPr>
          <w:rFonts w:hint="eastAsia" w:ascii="宋体" w:hAnsi="宋体" w:eastAsia="宋体" w:cs="宋体"/>
          <w:sz w:val="20"/>
          <w:szCs w:val="20"/>
        </w:rPr>
        <w:t>不得给付对方单位或人员及其家属、特定关系人现金、实物；不得以干股分红、合作投资、高息揽储、出借资金、委托理财、无息借款、挂名领薪、业务承揽、业务合作等方式向对方工作人员及其家属、特定关系人进行利益输送或提供特殊便利；不得以明显偏离市场的价格，购买对方工作人员及其家属、特定关系人出售的车辆、房产、服务、其他物品等。</w:t>
      </w:r>
    </w:p>
    <w:p w14:paraId="70098F09">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（３）</w:t>
      </w:r>
      <w:r>
        <w:rPr>
          <w:rFonts w:hint="eastAsia" w:ascii="宋体" w:hAnsi="宋体" w:eastAsia="宋体" w:cs="宋体"/>
          <w:sz w:val="20"/>
          <w:szCs w:val="20"/>
        </w:rPr>
        <w:t>不得由对方或关联单位承担任何应由本方或个人支付的费用；不得假借赞助费、赠股、报销费用等名义给付对方单位或人员及其家属、特定关系人财物；不得提供各种名义的旅游、宴请、娱乐等活动。</w:t>
      </w:r>
    </w:p>
    <w:p w14:paraId="365F367C">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（４）</w:t>
      </w:r>
      <w:r>
        <w:rPr>
          <w:rFonts w:hint="eastAsia" w:ascii="宋体" w:hAnsi="宋体" w:eastAsia="宋体" w:cs="宋体"/>
          <w:sz w:val="20"/>
          <w:szCs w:val="20"/>
        </w:rPr>
        <w:t>不得违规向对方工作人员及其家属、特定关系人出借资金、委托理财等。</w:t>
      </w:r>
    </w:p>
    <w:p w14:paraId="5EE111FE">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（５）</w:t>
      </w:r>
      <w:r>
        <w:rPr>
          <w:rFonts w:hint="eastAsia" w:ascii="宋体" w:hAnsi="宋体" w:eastAsia="宋体" w:cs="宋体"/>
          <w:sz w:val="20"/>
          <w:szCs w:val="20"/>
        </w:rPr>
        <w:t>不得要求对方购买业务合同规定外的任何物品；不得徇私舞弊、滥用职权，违反程序进行招投标等活动，不得在招投标过程中提供虚假信息、伪造资质资格，不得联合其他公司进行围标、串标，不得采取不正当手段损害对方权益。</w:t>
      </w:r>
    </w:p>
    <w:p w14:paraId="4A716E97">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（６）</w:t>
      </w:r>
      <w:r>
        <w:rPr>
          <w:rFonts w:hint="eastAsia" w:ascii="宋体" w:hAnsi="宋体" w:eastAsia="宋体" w:cs="宋体"/>
          <w:sz w:val="20"/>
          <w:szCs w:val="20"/>
        </w:rPr>
        <w:t>不得以毁灭、伪造证据或串通等方式，帮助对方工作人员掩盖违纪违法事实。</w:t>
      </w:r>
    </w:p>
    <w:p w14:paraId="3C1A27AC">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在双方合作过程中，一方单位人员或利害相关人的个人上述行为视为单位行为，由其单位承担相应责任。法律规定个人亦承担相关责任的，按法律规定处理。</w:t>
      </w:r>
    </w:p>
    <w:p w14:paraId="3CB5A71F">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二</w:t>
      </w:r>
      <w:r>
        <w:rPr>
          <w:rFonts w:hint="eastAsia" w:ascii="宋体" w:hAnsi="宋体" w:eastAsia="宋体" w:cs="宋体"/>
          <w:sz w:val="20"/>
          <w:szCs w:val="20"/>
          <w:lang w:eastAsia="zh-CN"/>
        </w:rPr>
        <w:t>）</w:t>
      </w:r>
      <w:r>
        <w:rPr>
          <w:rFonts w:hint="eastAsia" w:ascii="宋体" w:hAnsi="宋体" w:eastAsia="宋体" w:cs="宋体"/>
          <w:sz w:val="20"/>
          <w:szCs w:val="20"/>
        </w:rPr>
        <w:t>不诚信行为及约定</w:t>
      </w:r>
    </w:p>
    <w:p w14:paraId="2F953FCF">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（１）</w:t>
      </w:r>
      <w:r>
        <w:rPr>
          <w:rFonts w:hint="eastAsia" w:ascii="宋体" w:hAnsi="宋体" w:eastAsia="宋体" w:cs="宋体"/>
          <w:sz w:val="20"/>
          <w:szCs w:val="20"/>
        </w:rPr>
        <w:t>不得在合同履行过程中弄虚作假。不得向对方供应伪劣产品或在货物供应中掺杂使假、以次充好，或擅自改变规格型号，伪造合格证书等，降低产品质量；不得在合同履行过程中违法转包、分包；不得在合同履行过程中不均衡供货、不及时供货、虚假计量、虚假签证；不得通过盗窃、合同诈骗、价格欺诈、超领冒领、采用不正当竞争等手段损害对方正当权益。</w:t>
      </w:r>
    </w:p>
    <w:p w14:paraId="188B82C0">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（２）</w:t>
      </w:r>
      <w:r>
        <w:rPr>
          <w:rFonts w:hint="eastAsia" w:ascii="宋体" w:hAnsi="宋体" w:eastAsia="宋体" w:cs="宋体"/>
          <w:sz w:val="20"/>
          <w:szCs w:val="20"/>
        </w:rPr>
        <w:t>不得以谋取非正当利益为目的，与对方工作人员就业务问题进行私下商谈或者达成利益默契。</w:t>
      </w:r>
    </w:p>
    <w:p w14:paraId="539C46C7">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（３）</w:t>
      </w:r>
      <w:r>
        <w:rPr>
          <w:rFonts w:hint="eastAsia" w:ascii="宋体" w:hAnsi="宋体" w:eastAsia="宋体" w:cs="宋体"/>
          <w:sz w:val="20"/>
          <w:szCs w:val="20"/>
        </w:rPr>
        <w:t>不得利用非法手段打探或窃取对方秘密，损害对方正当利益。</w:t>
      </w:r>
    </w:p>
    <w:p w14:paraId="42DE4D25">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（４）</w:t>
      </w:r>
      <w:r>
        <w:rPr>
          <w:rFonts w:hint="eastAsia" w:ascii="宋体" w:hAnsi="宋体" w:eastAsia="宋体" w:cs="宋体"/>
          <w:sz w:val="20"/>
          <w:szCs w:val="20"/>
        </w:rPr>
        <w:t>不得利用社会关系违规插手和干预对方正常经营活动。</w:t>
      </w:r>
    </w:p>
    <w:p w14:paraId="3BDF98C8">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（５）</w:t>
      </w:r>
      <w:r>
        <w:rPr>
          <w:rFonts w:hint="eastAsia" w:ascii="宋体" w:hAnsi="宋体" w:eastAsia="宋体" w:cs="宋体"/>
          <w:sz w:val="20"/>
          <w:szCs w:val="20"/>
        </w:rPr>
        <w:t>乙方的股东、监事、经理、高级管理人员、合作项目负责人及项目成员系甲方股东、员工、客户或其利害相关人员的，乙方应在合作前以书面方式如实、全面告知甲方。不得存在干扰正常交易的行为。</w:t>
      </w:r>
    </w:p>
    <w:p w14:paraId="27345897">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各方应保证及督促其董事、监事、高级管理人员及员工在合作过程中严格依法依规履行职责、遵守职业纪律和职业道德，遵纪守法、尽职尽责、诚实守信。</w:t>
      </w:r>
    </w:p>
    <w:p w14:paraId="57B9CF4A">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eastAsia="zh-CN"/>
        </w:rPr>
        <w:drawing>
          <wp:anchor distT="0" distB="0" distL="114300" distR="114300" simplePos="0" relativeHeight="251660288" behindDoc="0" locked="0" layoutInCell="1" allowOverlap="1">
            <wp:simplePos x="0" y="0"/>
            <wp:positionH relativeFrom="column">
              <wp:posOffset>6177280</wp:posOffset>
            </wp:positionH>
            <wp:positionV relativeFrom="paragraph">
              <wp:posOffset>177165</wp:posOffset>
            </wp:positionV>
            <wp:extent cx="685165" cy="685165"/>
            <wp:effectExtent l="0" t="0" r="635" b="635"/>
            <wp:wrapSquare wrapText="bothSides"/>
            <wp:docPr id="5" name="图片 34" descr="011a1197d49f231d0e340798eb08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descr="011a1197d49f231d0e340798eb084ff"/>
                    <pic:cNvPicPr>
                      <a:picLocks noChangeAspect="1"/>
                    </pic:cNvPicPr>
                  </pic:nvPicPr>
                  <pic:blipFill>
                    <a:blip r:embed="rId23"/>
                    <a:stretch>
                      <a:fillRect/>
                    </a:stretch>
                  </pic:blipFill>
                  <pic:spPr>
                    <a:xfrm>
                      <a:off x="0" y="0"/>
                      <a:ext cx="685165" cy="685165"/>
                    </a:xfrm>
                    <a:prstGeom prst="rect">
                      <a:avLst/>
                    </a:prstGeom>
                    <a:noFill/>
                    <a:ln>
                      <a:noFill/>
                    </a:ln>
                  </pic:spPr>
                </pic:pic>
              </a:graphicData>
            </a:graphic>
          </wp:anchor>
        </w:drawing>
      </w:r>
      <w:r>
        <w:rPr>
          <w:rFonts w:hint="eastAsia" w:ascii="宋体" w:hAnsi="宋体" w:eastAsia="宋体" w:cs="宋体"/>
          <w:b/>
          <w:bCs/>
          <w:sz w:val="20"/>
          <w:szCs w:val="20"/>
          <w:lang w:val="en-US" w:eastAsia="zh-CN"/>
        </w:rPr>
        <w:t>第三条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双方应积极协助和配合对方监督检查，当发现对方及其工作人员有第一条、第二条所禁止行为时，应当在事发后及时通知对方，并向对方监督检查部门投诉、举报。</w:t>
      </w:r>
      <w:r>
        <w:rPr>
          <w:rFonts w:hint="eastAsia" w:ascii="宋体" w:hAnsi="宋体" w:eastAsia="宋体" w:cs="宋体"/>
          <w:sz w:val="20"/>
          <w:szCs w:val="20"/>
          <w:highlight w:val="none"/>
        </w:rPr>
        <w:t>甲方接受举报渠道如下：举报电话：0</w:t>
      </w:r>
      <w:r>
        <w:rPr>
          <w:rFonts w:hint="eastAsia" w:ascii="宋体" w:hAnsi="宋体" w:cs="宋体"/>
          <w:sz w:val="20"/>
          <w:szCs w:val="20"/>
          <w:highlight w:val="none"/>
          <w:lang w:val="en-US" w:eastAsia="zh-CN"/>
        </w:rPr>
        <w:t>633</w:t>
      </w:r>
      <w:r>
        <w:rPr>
          <w:rFonts w:hint="eastAsia" w:ascii="宋体" w:hAnsi="宋体" w:eastAsia="宋体" w:cs="宋体"/>
          <w:sz w:val="20"/>
          <w:szCs w:val="20"/>
          <w:highlight w:val="none"/>
        </w:rPr>
        <w:t>-</w:t>
      </w:r>
      <w:r>
        <w:rPr>
          <w:rFonts w:hint="eastAsia" w:ascii="宋体" w:hAnsi="宋体" w:cs="宋体"/>
          <w:sz w:val="20"/>
          <w:szCs w:val="20"/>
          <w:highlight w:val="none"/>
          <w:lang w:val="en-US" w:eastAsia="zh-CN"/>
        </w:rPr>
        <w:t>7920333</w:t>
      </w:r>
      <w:r>
        <w:rPr>
          <w:rFonts w:hint="eastAsia" w:ascii="宋体" w:hAnsi="宋体" w:eastAsia="宋体" w:cs="宋体"/>
          <w:sz w:val="20"/>
          <w:szCs w:val="20"/>
          <w:highlight w:val="none"/>
          <w:lang w:eastAsia="zh-CN"/>
        </w:rPr>
        <w:t>；</w:t>
      </w:r>
      <w:r>
        <w:rPr>
          <w:rFonts w:hint="eastAsia" w:ascii="宋体" w:hAnsi="宋体" w:cs="宋体"/>
          <w:sz w:val="20"/>
          <w:szCs w:val="20"/>
          <w:highlight w:val="none"/>
          <w:lang w:eastAsia="zh-CN"/>
        </w:rPr>
        <w:t>邮箱：</w:t>
      </w:r>
      <w:r>
        <w:rPr>
          <w:rFonts w:hint="eastAsia" w:ascii="宋体" w:hAnsi="宋体" w:cs="宋体"/>
          <w:sz w:val="20"/>
          <w:szCs w:val="20"/>
          <w:highlight w:val="none"/>
          <w:lang w:val="en-US" w:eastAsia="zh-CN"/>
        </w:rPr>
        <w:t>sgrzj7920333@sdsteelrz.com</w:t>
      </w:r>
      <w:r>
        <w:rPr>
          <w:rFonts w:hint="eastAsia" w:ascii="宋体" w:hAnsi="宋体" w:eastAsia="宋体" w:cs="宋体"/>
          <w:sz w:val="20"/>
          <w:szCs w:val="20"/>
          <w:highlight w:val="none"/>
          <w:lang w:eastAsia="zh-CN"/>
        </w:rPr>
        <w:t>；</w:t>
      </w:r>
      <w:r>
        <w:rPr>
          <w:rFonts w:hint="eastAsia" w:ascii="宋体" w:hAnsi="宋体" w:eastAsia="宋体" w:cs="宋体"/>
          <w:color w:val="FFFFFF" w:themeColor="background1"/>
          <w:sz w:val="20"/>
          <w:szCs w:val="20"/>
          <w:lang w:eastAsia="zh-CN"/>
          <w14:textFill>
            <w14:solidFill>
              <w14:schemeClr w14:val="bg1"/>
            </w14:solidFill>
          </w14:textFill>
        </w:rPr>
        <w:t>来信地址：山东省济南市钢城区莱钢大道与鸣翔大街交叉口营销总公司办公楼营销总公司纪委，邮编：271104。纪委</w:t>
      </w:r>
      <w:r>
        <w:rPr>
          <w:rFonts w:hint="eastAsia" w:ascii="宋体" w:hAnsi="宋体" w:eastAsia="宋体" w:cs="宋体"/>
          <w:color w:val="FFFFFF" w:themeColor="background1"/>
          <w:sz w:val="20"/>
          <w:szCs w:val="20"/>
          <w:lang w:val="en-US" w:eastAsia="zh-CN"/>
          <w14:textFill>
            <w14:solidFill>
              <w14:schemeClr w14:val="bg1"/>
            </w14:solidFill>
          </w14:textFill>
        </w:rPr>
        <w:t>信访举报平台，（微信二维码，可匿名）：</w:t>
      </w:r>
    </w:p>
    <w:p w14:paraId="2CEE5D2E">
      <w:pPr>
        <w:keepNext w:val="0"/>
        <w:keepLines w:val="0"/>
        <w:pageBreakBefore w:val="0"/>
        <w:widowControl w:val="0"/>
        <w:kinsoku/>
        <w:wordWrap/>
        <w:overflowPunct w:val="0"/>
        <w:topLinePunct w:val="0"/>
        <w:autoSpaceDE/>
        <w:autoSpaceDN/>
        <w:bidi w:val="0"/>
        <w:adjustRightInd/>
        <w:snapToGrid/>
        <w:spacing w:line="240" w:lineRule="atLeast"/>
        <w:ind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对于乙方，无论是主动还是被动发生第一条、第二条所示行为的，如果乙方或乙方员工主动向甲方提供有效信息，甲方可以与乙方继续合作、减免乙方违约责任并依规给予相关人员相应的奖励。对于上述情形的处理甲方有完全的判断权和自主权，乙方认可并自愿接受处理结果。</w:t>
      </w:r>
    </w:p>
    <w:p w14:paraId="25AEB0A6">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第四条</w:t>
      </w:r>
      <w:r>
        <w:rPr>
          <w:rFonts w:hint="eastAsia" w:ascii="宋体" w:hAnsi="宋体" w:eastAsia="宋体" w:cs="宋体"/>
          <w:sz w:val="20"/>
          <w:szCs w:val="20"/>
        </w:rPr>
        <w:t xml:space="preserve"> 双方的监督检查部门或其授权的人员对本廉洁诚信协议的执行情况进行监督，接受有关投诉和举报。被投诉、举报方不得以任何理由实施打击</w:t>
      </w:r>
      <w:r>
        <w:rPr>
          <w:rFonts w:hint="eastAsia" w:ascii="宋体" w:hAnsi="宋体" w:eastAsia="宋体" w:cs="宋体"/>
          <w:sz w:val="20"/>
          <w:szCs w:val="20"/>
          <w:lang w:eastAsia="zh-CN"/>
        </w:rPr>
        <w:t>、</w:t>
      </w:r>
      <w:r>
        <w:rPr>
          <w:rFonts w:hint="eastAsia" w:ascii="宋体" w:hAnsi="宋体" w:eastAsia="宋体" w:cs="宋体"/>
          <w:sz w:val="20"/>
          <w:szCs w:val="20"/>
        </w:rPr>
        <w:t>报复。投诉人、举报人要求保密的，监督检查部门应当为其保密。</w:t>
      </w:r>
    </w:p>
    <w:p w14:paraId="38719E7E">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第五条</w:t>
      </w:r>
      <w:r>
        <w:rPr>
          <w:rFonts w:hint="eastAsia" w:ascii="宋体" w:hAnsi="宋体" w:eastAsia="宋体" w:cs="宋体"/>
          <w:sz w:val="20"/>
          <w:szCs w:val="20"/>
        </w:rPr>
        <w:t xml:space="preserve"> 甲方工作人员违反本协议第二条规定，甲方将依据企业有关规章制度对当事人严肃处理；构成违纪的，依据有关纪律规定给予党纪、政务处分或组织处理；涉嫌违法犯罪的，移交司法机关处理。</w:t>
      </w:r>
    </w:p>
    <w:p w14:paraId="1764D9FF">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第六条</w:t>
      </w:r>
      <w:r>
        <w:rPr>
          <w:rFonts w:hint="eastAsia" w:ascii="宋体" w:hAnsi="宋体" w:eastAsia="宋体" w:cs="宋体"/>
          <w:sz w:val="20"/>
          <w:szCs w:val="20"/>
        </w:rPr>
        <w:t xml:space="preserve"> 乙方及乙方工作人员在双方经济业务往来存续期间，自觉遵守甲方规章制度，发生违反规章制度时须接受并按照甲方规定进行处理，对违反本协议约定的，应承担相应的违约责任，甲方有权采取措施，包括但不限于以下方式：</w:t>
      </w:r>
    </w:p>
    <w:p w14:paraId="7B6E5CCE">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（１）</w:t>
      </w:r>
      <w:r>
        <w:rPr>
          <w:rFonts w:hint="eastAsia" w:ascii="宋体" w:hAnsi="宋体" w:eastAsia="宋体" w:cs="宋体"/>
          <w:sz w:val="20"/>
          <w:szCs w:val="20"/>
        </w:rPr>
        <w:t>在乙方、乙方工作人员及利害相关人涉嫌侵害甲方利益的调查过程中，甲方有权暂停支付乙方款项。乙方不得以此为由停止履行其合同义务，由此给甲方生产经营造成损失的，应承担赔偿责任。</w:t>
      </w:r>
    </w:p>
    <w:p w14:paraId="7E401093">
      <w:pPr>
        <w:keepNext w:val="0"/>
        <w:keepLines w:val="0"/>
        <w:pageBreakBefore w:val="0"/>
        <w:widowControl w:val="0"/>
        <w:kinsoku/>
        <w:wordWrap/>
        <w:overflowPunct w:val="0"/>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eastAsia="zh-CN"/>
        </w:rPr>
        <w:t>（２）</w:t>
      </w:r>
      <w:r>
        <w:rPr>
          <w:rFonts w:hint="eastAsia" w:ascii="宋体" w:hAnsi="宋体" w:eastAsia="宋体" w:cs="宋体"/>
          <w:sz w:val="20"/>
          <w:szCs w:val="20"/>
        </w:rPr>
        <w:t>经查证属实，尚未构成犯罪或造成甲方工作人员被追究刑事责任的，乙方支付甲方10万元违约金或甲方扣减乙方相应合同总额的10%作为违约金，两者以高者为准；构成犯罪的或造成甲方工作人员被追究刑事责任的，乙方支付甲方20万元违约金或甲方扣减乙方相应合同总额的20%作为违约金，两者以高者为准，由此给甲方造成的经济损失，由乙方承担。</w:t>
      </w:r>
    </w:p>
    <w:p w14:paraId="1ADA9FC5">
      <w:pPr>
        <w:keepNext w:val="0"/>
        <w:keepLines w:val="0"/>
        <w:pageBreakBefore w:val="0"/>
        <w:widowControl w:val="0"/>
        <w:kinsoku/>
        <w:wordWrap/>
        <w:overflowPunct w:val="0"/>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年度合同或长期合作合同，以违约行为所影响的范围确定损失及赔偿，所涉范围与交易总额以甲方审定为准，扣减金额按本条确定的比例执行，乙方对此无任何异议，将完全认可。</w:t>
      </w:r>
    </w:p>
    <w:p w14:paraId="32CAA78B">
      <w:pPr>
        <w:keepNext w:val="0"/>
        <w:keepLines w:val="0"/>
        <w:pageBreakBefore w:val="0"/>
        <w:widowControl w:val="0"/>
        <w:kinsoku/>
        <w:wordWrap/>
        <w:overflowPunct w:val="0"/>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eastAsia="zh-CN"/>
        </w:rPr>
        <w:t>（３）</w:t>
      </w:r>
      <w:r>
        <w:rPr>
          <w:rFonts w:hint="eastAsia" w:ascii="宋体" w:hAnsi="宋体" w:eastAsia="宋体" w:cs="宋体"/>
          <w:sz w:val="20"/>
          <w:szCs w:val="20"/>
        </w:rPr>
        <w:t>鉴于乙方违反本协议的行为严重破坏经营秩序，损害营商环境，乙方充分知悉并认可上述违约金为惩罚性违约金，违约金包括但不限于甲方的实际损失、预期利益损失、商誉损失及其他直接和间接损失。在任何情况下，乙方均同意按照本条款约定全额支付违约金</w:t>
      </w:r>
      <w:r>
        <w:rPr>
          <w:rFonts w:hint="eastAsia" w:ascii="宋体" w:hAnsi="宋体" w:eastAsia="宋体" w:cs="宋体"/>
          <w:sz w:val="20"/>
          <w:szCs w:val="20"/>
          <w:lang w:eastAsia="zh-CN"/>
        </w:rPr>
        <w:t>，</w:t>
      </w:r>
      <w:r>
        <w:rPr>
          <w:rFonts w:hint="eastAsia" w:ascii="宋体" w:hAnsi="宋体" w:eastAsia="宋体" w:cs="宋体"/>
          <w:sz w:val="20"/>
          <w:szCs w:val="20"/>
        </w:rPr>
        <w:t>甲方有权以乙方应当支付的违约金、赔偿款抵销对乙方的应付账款</w:t>
      </w:r>
      <w:r>
        <w:rPr>
          <w:rFonts w:hint="eastAsia" w:ascii="宋体" w:hAnsi="宋体" w:eastAsia="宋体" w:cs="宋体"/>
          <w:sz w:val="20"/>
          <w:szCs w:val="20"/>
          <w:lang w:eastAsia="zh-CN"/>
        </w:rPr>
        <w:t>，</w:t>
      </w:r>
      <w:r>
        <w:rPr>
          <w:rFonts w:hint="eastAsia" w:ascii="宋体" w:hAnsi="宋体" w:eastAsia="宋体" w:cs="宋体"/>
          <w:sz w:val="20"/>
          <w:szCs w:val="20"/>
        </w:rPr>
        <w:t>违约金不足以弥补甲方损失的，乙方另外赔偿甲方损失。</w:t>
      </w:r>
    </w:p>
    <w:p w14:paraId="2AEC6A54">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（４）</w:t>
      </w:r>
      <w:r>
        <w:rPr>
          <w:rFonts w:hint="eastAsia" w:ascii="宋体" w:hAnsi="宋体" w:eastAsia="宋体" w:cs="宋体"/>
          <w:sz w:val="20"/>
          <w:szCs w:val="20"/>
        </w:rPr>
        <w:t>经查证属实乙方违反本协议约定，甲方有权单方部分或全部终止与乙方的合同，取消乙方投标或签约资格。情节严重的，甲方有权决定3年内不与乙方及其关联方开展新的业务合作或将乙方及其关联方列入永久性禁入黑名单。</w:t>
      </w:r>
    </w:p>
    <w:p w14:paraId="62093276">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 xml:space="preserve">第七条 </w:t>
      </w:r>
      <w:r>
        <w:rPr>
          <w:rFonts w:hint="eastAsia" w:ascii="宋体" w:hAnsi="宋体" w:eastAsia="宋体" w:cs="宋体"/>
          <w:sz w:val="20"/>
          <w:szCs w:val="20"/>
        </w:rPr>
        <w:t>本协议适用于双方在开展业务合作期间所签订的所有合同，无论合同的具体内容、形式或签订时间，其效力不因其他具体业务合同或协议终止而失效。若双方在合作期间签订的其他合同与本协议存在冲突或不一致之处，应以本协议为准。</w:t>
      </w:r>
    </w:p>
    <w:p w14:paraId="1AF5C951">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如有任何争议，双方应首先通过友好协商解决；协商不成的，任何一方均有权将争议提交至有管辖权的人民法院诉讼解决。</w:t>
      </w:r>
    </w:p>
    <w:p w14:paraId="56F69CDE">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第八条</w:t>
      </w:r>
      <w:r>
        <w:rPr>
          <w:rFonts w:hint="eastAsia" w:ascii="宋体" w:hAnsi="宋体" w:eastAsia="宋体" w:cs="宋体"/>
          <w:sz w:val="20"/>
          <w:szCs w:val="20"/>
        </w:rPr>
        <w:t xml:space="preserve"> 本协议一式三份，甲方执二份，乙方执一份。</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5"/>
        <w:gridCol w:w="2705"/>
        <w:gridCol w:w="2705"/>
        <w:gridCol w:w="2705"/>
      </w:tblGrid>
      <w:tr w14:paraId="4718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05" w:type="dxa"/>
            <w:noWrap w:val="0"/>
            <w:vAlign w:val="top"/>
          </w:tcPr>
          <w:p w14:paraId="3EC0462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甲方代表：</w:t>
            </w:r>
          </w:p>
        </w:tc>
        <w:tc>
          <w:tcPr>
            <w:tcW w:w="2705" w:type="dxa"/>
            <w:noWrap w:val="0"/>
            <w:vAlign w:val="top"/>
          </w:tcPr>
          <w:p w14:paraId="545EBED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sz w:val="20"/>
                <w:szCs w:val="20"/>
                <w:vertAlign w:val="baseline"/>
              </w:rPr>
            </w:pPr>
          </w:p>
        </w:tc>
        <w:tc>
          <w:tcPr>
            <w:tcW w:w="2705" w:type="dxa"/>
            <w:noWrap w:val="0"/>
            <w:vAlign w:val="top"/>
          </w:tcPr>
          <w:p w14:paraId="4D1C94E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乙方代表：</w:t>
            </w:r>
          </w:p>
        </w:tc>
        <w:tc>
          <w:tcPr>
            <w:tcW w:w="2705" w:type="dxa"/>
            <w:noWrap w:val="0"/>
            <w:vAlign w:val="top"/>
          </w:tcPr>
          <w:p w14:paraId="111B279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sz w:val="20"/>
                <w:szCs w:val="20"/>
                <w:vertAlign w:val="baseline"/>
              </w:rPr>
            </w:pPr>
          </w:p>
        </w:tc>
      </w:tr>
      <w:tr w14:paraId="076D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2705" w:type="dxa"/>
            <w:noWrap w:val="0"/>
            <w:vAlign w:val="center"/>
          </w:tcPr>
          <w:p w14:paraId="42EAD74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甲方单位盖章：</w:t>
            </w:r>
          </w:p>
        </w:tc>
        <w:tc>
          <w:tcPr>
            <w:tcW w:w="2705" w:type="dxa"/>
            <w:noWrap w:val="0"/>
            <w:vAlign w:val="center"/>
          </w:tcPr>
          <w:p w14:paraId="187DE42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p>
        </w:tc>
        <w:tc>
          <w:tcPr>
            <w:tcW w:w="2705" w:type="dxa"/>
            <w:noWrap w:val="0"/>
            <w:vAlign w:val="center"/>
          </w:tcPr>
          <w:p w14:paraId="5BBB9D9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乙方单位盖章：</w:t>
            </w:r>
          </w:p>
        </w:tc>
        <w:tc>
          <w:tcPr>
            <w:tcW w:w="2705" w:type="dxa"/>
            <w:noWrap w:val="0"/>
            <w:vAlign w:val="top"/>
          </w:tcPr>
          <w:p w14:paraId="4CEA954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sz w:val="20"/>
                <w:szCs w:val="20"/>
                <w:vertAlign w:val="baseline"/>
              </w:rPr>
            </w:pPr>
          </w:p>
        </w:tc>
      </w:tr>
    </w:tbl>
    <w:p w14:paraId="1C773713">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lang w:val="en-US" w:eastAsia="zh-CN"/>
        </w:rPr>
      </w:pPr>
    </w:p>
    <w:p w14:paraId="105964AE">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_______</w:t>
      </w:r>
      <w:r>
        <w:rPr>
          <w:rFonts w:hint="eastAsia" w:ascii="宋体" w:hAnsi="宋体" w:eastAsia="宋体" w:cs="宋体"/>
          <w:sz w:val="20"/>
          <w:szCs w:val="20"/>
        </w:rPr>
        <w:t>年</w:t>
      </w:r>
      <w:r>
        <w:rPr>
          <w:rFonts w:hint="eastAsia" w:ascii="宋体" w:hAnsi="宋体" w:eastAsia="宋体" w:cs="宋体"/>
          <w:sz w:val="20"/>
          <w:szCs w:val="20"/>
          <w:lang w:val="en-US" w:eastAsia="zh-CN"/>
        </w:rPr>
        <w:t>_______</w:t>
      </w:r>
      <w:r>
        <w:rPr>
          <w:rFonts w:hint="eastAsia" w:ascii="宋体" w:hAnsi="宋体" w:eastAsia="宋体" w:cs="宋体"/>
          <w:sz w:val="20"/>
          <w:szCs w:val="20"/>
        </w:rPr>
        <w:t>月</w:t>
      </w:r>
      <w:r>
        <w:rPr>
          <w:rFonts w:hint="eastAsia" w:ascii="宋体" w:hAnsi="宋体" w:eastAsia="宋体" w:cs="宋体"/>
          <w:sz w:val="20"/>
          <w:szCs w:val="20"/>
          <w:lang w:val="en-US" w:eastAsia="zh-CN"/>
        </w:rPr>
        <w:t>_______</w:t>
      </w:r>
      <w:r>
        <w:rPr>
          <w:rFonts w:hint="eastAsia" w:ascii="宋体" w:hAnsi="宋体" w:eastAsia="宋体" w:cs="宋体"/>
          <w:sz w:val="20"/>
          <w:szCs w:val="20"/>
        </w:rPr>
        <w:t>日</w:t>
      </w:r>
    </w:p>
    <w:p w14:paraId="34CC266E">
      <w:pPr>
        <w:bidi w:val="0"/>
        <w:rPr>
          <w:rFonts w:hint="eastAsia"/>
        </w:rPr>
        <w:sectPr>
          <w:headerReference r:id="rId6" w:type="default"/>
          <w:footerReference r:id="rId7" w:type="default"/>
          <w:pgSz w:w="11906" w:h="16838"/>
          <w:pgMar w:top="567" w:right="567" w:bottom="567" w:left="567" w:header="851" w:footer="992" w:gutter="0"/>
          <w:pgNumType w:fmt="decimal" w:start="1"/>
          <w:cols w:space="720" w:num="1"/>
          <w:docGrid w:type="lines" w:linePitch="312" w:charSpace="0"/>
        </w:sectPr>
      </w:pPr>
    </w:p>
    <w:p w14:paraId="040893DD">
      <w:pPr>
        <w:pStyle w:val="28"/>
        <w:bidi w:val="0"/>
        <w:ind w:left="0" w:leftChars="0" w:firstLine="420" w:firstLineChars="0"/>
        <w:rPr>
          <w:rFonts w:hint="default"/>
          <w:lang w:val="en-US" w:eastAsia="zh-CN"/>
        </w:rPr>
      </w:pPr>
      <w:bookmarkStart w:id="11" w:name="_Ref17640"/>
      <w:r>
        <w:rPr>
          <w:rFonts w:hint="eastAsia"/>
          <w:lang w:val="en-US" w:eastAsia="zh-CN"/>
        </w:rPr>
        <w:t>业务澄清说明</w:t>
      </w:r>
      <w:bookmarkEnd w:id="11"/>
      <w:r>
        <w:rPr>
          <w:rFonts w:hint="eastAsia"/>
          <w:lang w:val="en-US" w:eastAsia="zh-CN"/>
        </w:rPr>
        <w:t>（壹式壹份）</w:t>
      </w:r>
      <w:r>
        <w:rPr>
          <w:rFonts w:hint="eastAsia"/>
          <w:lang w:val="en-US" w:eastAsia="zh-CN"/>
        </w:rPr>
        <mc:AlternateContent>
          <mc:Choice Requires="wps">
            <w:drawing>
              <wp:anchor distT="0" distB="0" distL="114300" distR="114300" simplePos="0" relativeHeight="251663360"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9" name="文本框 39"/>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31E5549C">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52D5016">
                            <w:pPr>
                              <w:rPr>
                                <w:rFonts w:eastAsia="宋体" w:cs="Times New Roman"/>
                                <w:szCs w:val="24"/>
                              </w:rPr>
                            </w:pPr>
                          </w:p>
                        </w:txbxContent>
                      </wps:txbx>
                      <wps:bodyPr wrap="square" upright="1"/>
                    </wps:wsp>
                  </a:graphicData>
                </a:graphic>
              </wp:anchor>
            </w:drawing>
          </mc:Choice>
          <mc:Fallback>
            <w:pict>
              <v:shape id="文本框 39" o:spid="_x0000_s1026" o:spt="202" type="#_x0000_t202" style="position:absolute;left:0pt;margin-left:367.45pt;margin-top:-20.4pt;height:32.1pt;width:153.3pt;z-index:251663360;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KF46grMAQAAhgMAAA4AAABkcnMvZTJvRG9jLnhtbK1T&#10;zY7TMBC+I/EOlu806bLq0q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lteL5ZxcknzX&#10;5c3iJ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oXjqCswBAACGAwAADgAAAAAAAAABACAAAAAo&#10;AQAAZHJzL2Uyb0RvYy54bWxQSwUGAAAAAAYABgBZAQAAZgUAAAAA&#10;">
                <v:fill on="t" focussize="0,0"/>
                <v:stroke on="f"/>
                <v:imagedata o:title=""/>
                <o:lock v:ext="edit" aspectratio="f"/>
                <v:textbox>
                  <w:txbxContent>
                    <w:p w14:paraId="31E5549C">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52D5016">
                      <w:pPr>
                        <w:rPr>
                          <w:rFonts w:eastAsia="宋体" w:cs="Times New Roman"/>
                          <w:szCs w:val="24"/>
                        </w:rPr>
                      </w:pPr>
                    </w:p>
                  </w:txbxContent>
                </v:textbox>
              </v:shape>
            </w:pict>
          </mc:Fallback>
        </mc:AlternateContent>
      </w:r>
    </w:p>
    <w:p w14:paraId="5703CF62">
      <w:pPr>
        <w:spacing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业务澄清说明</w:t>
      </w:r>
    </w:p>
    <w:p w14:paraId="163F7929">
      <w:pPr>
        <w:spacing w:line="560" w:lineRule="exact"/>
        <w:jc w:val="center"/>
        <w:rPr>
          <w:rFonts w:hint="eastAsia" w:ascii="黑体" w:hAnsi="黑体" w:eastAsia="黑体" w:cs="黑体"/>
          <w:kern w:val="0"/>
          <w:sz w:val="32"/>
          <w:szCs w:val="32"/>
        </w:rPr>
      </w:pPr>
    </w:p>
    <w:p w14:paraId="1D70C5E8">
      <w:pPr>
        <w:spacing w:line="360" w:lineRule="auto"/>
        <w:rPr>
          <w:rFonts w:ascii="仿宋_GB2312" w:hAnsi="等线" w:eastAsia="仿宋_GB2312" w:cs="仿宋_GB2312"/>
          <w:sz w:val="30"/>
          <w:szCs w:val="30"/>
        </w:rPr>
      </w:pPr>
    </w:p>
    <w:p w14:paraId="53EA5299">
      <w:pPr>
        <w:tabs>
          <w:tab w:val="left" w:pos="1843"/>
        </w:tabs>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山东钢铁集团日照有限公司：</w:t>
      </w:r>
    </w:p>
    <w:p w14:paraId="38BFED5C">
      <w:pPr>
        <w:tabs>
          <w:tab w:val="left" w:pos="1843"/>
        </w:tabs>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color w:val="FFFFFF"/>
          <w:sz w:val="32"/>
          <w:szCs w:val="32"/>
          <w:u w:val="single" w:color="0070C0"/>
          <w:lang w:val="en-US" w:eastAsia="zh-CN"/>
        </w:rPr>
        <w:t>__________________________</w:t>
      </w:r>
      <w:r>
        <w:rPr>
          <w:rFonts w:hint="eastAsia" w:ascii="宋体" w:hAnsi="宋体" w:eastAsia="宋体" w:cs="宋体"/>
          <w:sz w:val="32"/>
          <w:szCs w:val="32"/>
          <w:u w:val="single" w:color="0070C0"/>
          <w:lang w:eastAsia="zh-CN"/>
        </w:rPr>
        <w:t>有限公司</w:t>
      </w:r>
      <w:r>
        <w:rPr>
          <w:rFonts w:hint="eastAsia" w:ascii="宋体" w:hAnsi="宋体" w:eastAsia="宋体" w:cs="宋体"/>
          <w:sz w:val="32"/>
          <w:szCs w:val="32"/>
        </w:rPr>
        <w:t>（以下称：我司），现存在购买贵公司</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color w:val="auto"/>
          <w:sz w:val="32"/>
          <w:szCs w:val="32"/>
          <w:u w:val="single" w:color="0070C0"/>
          <w:lang w:val="en-US" w:eastAsia="zh-CN"/>
        </w:rPr>
        <w:t>（填写物资名称）</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sz w:val="32"/>
          <w:szCs w:val="32"/>
        </w:rPr>
        <w:t>业务，</w:t>
      </w:r>
      <w:r>
        <w:rPr>
          <w:rFonts w:hint="eastAsia" w:ascii="宋体" w:hAnsi="宋体" w:eastAsia="宋体" w:cs="宋体"/>
          <w:sz w:val="32"/>
          <w:szCs w:val="32"/>
          <w:lang w:val="en-US" w:eastAsia="zh-CN"/>
        </w:rPr>
        <w:t>严格管理提货车辆预约权限，</w:t>
      </w:r>
      <w:r>
        <w:rPr>
          <w:rFonts w:hint="eastAsia" w:ascii="宋体" w:hAnsi="宋体" w:eastAsia="宋体" w:cs="宋体"/>
          <w:sz w:val="32"/>
          <w:szCs w:val="32"/>
        </w:rPr>
        <w:t>自提车辆仅用作购买外发</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color w:val="auto"/>
          <w:sz w:val="32"/>
          <w:szCs w:val="32"/>
          <w:u w:val="single" w:color="0070C0"/>
          <w:lang w:val="en-US" w:eastAsia="zh-CN"/>
        </w:rPr>
        <w:t>（填写物资名称）</w:t>
      </w:r>
      <w:r>
        <w:rPr>
          <w:rFonts w:hint="eastAsia" w:ascii="宋体" w:hAnsi="宋体" w:eastAsia="宋体" w:cs="宋体"/>
          <w:color w:val="FFFFFF"/>
          <w:sz w:val="32"/>
          <w:szCs w:val="32"/>
          <w:u w:val="single" w:color="0070C0"/>
          <w:lang w:val="en-US" w:eastAsia="zh-CN"/>
        </w:rPr>
        <w:t>_______</w:t>
      </w:r>
      <w:r>
        <w:rPr>
          <w:rFonts w:hint="eastAsia" w:ascii="宋体" w:hAnsi="宋体" w:eastAsia="宋体" w:cs="宋体"/>
          <w:sz w:val="32"/>
          <w:szCs w:val="32"/>
        </w:rPr>
        <w:t>使用，在此范围之外出现任何安全、环保</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治安等</w:t>
      </w:r>
      <w:r>
        <w:rPr>
          <w:rFonts w:hint="eastAsia" w:ascii="宋体" w:hAnsi="宋体" w:eastAsia="宋体" w:cs="宋体"/>
          <w:sz w:val="32"/>
          <w:szCs w:val="32"/>
        </w:rPr>
        <w:t>风险或事故</w:t>
      </w:r>
      <w:r>
        <w:rPr>
          <w:rFonts w:hint="eastAsia" w:ascii="宋体" w:hAnsi="宋体" w:eastAsia="宋体" w:cs="宋体"/>
          <w:sz w:val="32"/>
          <w:szCs w:val="32"/>
          <w:lang w:val="en-US" w:eastAsia="zh-CN"/>
        </w:rPr>
        <w:t>的</w:t>
      </w:r>
      <w:r>
        <w:rPr>
          <w:rFonts w:hint="eastAsia" w:ascii="宋体" w:hAnsi="宋体" w:eastAsia="宋体" w:cs="宋体"/>
          <w:sz w:val="32"/>
          <w:szCs w:val="32"/>
        </w:rPr>
        <w:t>，责任均由我司承担，与贵公司无关。</w:t>
      </w:r>
    </w:p>
    <w:p w14:paraId="5C30114D">
      <w:pPr>
        <w:pStyle w:val="27"/>
        <w:bidi w:val="0"/>
        <w:spacing w:line="360" w:lineRule="auto"/>
        <w:rPr>
          <w:rFonts w:hint="default"/>
          <w:lang w:val="en-US" w:eastAsia="zh-CN"/>
        </w:rPr>
      </w:pPr>
    </w:p>
    <w:p w14:paraId="490979D5">
      <w:pPr>
        <w:pStyle w:val="27"/>
        <w:bidi w:val="0"/>
        <w:spacing w:line="360" w:lineRule="auto"/>
        <w:rPr>
          <w:rFonts w:hint="default"/>
          <w:lang w:val="en-US" w:eastAsia="zh-CN"/>
        </w:rPr>
      </w:pPr>
    </w:p>
    <w:p w14:paraId="53BB4924">
      <w:pPr>
        <w:pStyle w:val="27"/>
        <w:bidi w:val="0"/>
        <w:spacing w:line="360" w:lineRule="auto"/>
        <w:jc w:val="center"/>
        <w:rPr>
          <w:rFonts w:hint="default" w:ascii="宋体" w:hAnsi="宋体" w:eastAsia="宋体" w:cs="宋体"/>
          <w:kern w:val="2"/>
          <w:sz w:val="32"/>
          <w:szCs w:val="32"/>
          <w:lang w:val="en-US" w:eastAsia="zh-CN" w:bidi="ar-SA"/>
        </w:rPr>
      </w:pPr>
      <w:r>
        <w:rPr>
          <w:rFonts w:hint="default" w:ascii="宋体" w:hAnsi="宋体" w:eastAsia="宋体" w:cs="宋体"/>
          <w:kern w:val="2"/>
          <w:sz w:val="32"/>
          <w:szCs w:val="32"/>
          <w:lang w:val="en-US" w:eastAsia="zh-CN" w:bidi="ar-SA"/>
        </w:rPr>
        <w:t>__________________________有限公司</w:t>
      </w:r>
    </w:p>
    <w:p w14:paraId="5179514B">
      <w:pPr>
        <w:pStyle w:val="27"/>
        <w:bidi w:val="0"/>
        <w:spacing w:line="360" w:lineRule="auto"/>
        <w:jc w:val="cente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_____年_____月_____日</w:t>
      </w:r>
    </w:p>
    <w:p w14:paraId="274EF433">
      <w:pPr>
        <w:keepNext w:val="0"/>
        <w:keepLines w:val="0"/>
        <w:pageBreakBefore w:val="0"/>
        <w:widowControl w:val="0"/>
        <w:kinsoku/>
        <w:wordWrap w:val="0"/>
        <w:overflowPunct/>
        <w:topLinePunct w:val="0"/>
        <w:autoSpaceDE/>
        <w:autoSpaceDN/>
        <w:bidi w:val="0"/>
        <w:adjustRightInd/>
        <w:spacing w:line="520" w:lineRule="exact"/>
        <w:ind w:right="0" w:firstLine="4480" w:firstLineChars="1400"/>
        <w:jc w:val="both"/>
        <w:textAlignment w:val="auto"/>
        <w:rPr>
          <w:rFonts w:hint="eastAsia" w:ascii="仿宋_GB2312" w:hAnsi="宋体" w:eastAsia="仿宋_GB2312" w:cs="仿宋_GB2312"/>
          <w:kern w:val="0"/>
          <w:sz w:val="32"/>
          <w:szCs w:val="32"/>
          <w:highlight w:val="green"/>
        </w:rPr>
      </w:pPr>
    </w:p>
    <w:p w14:paraId="1972923E">
      <w:pPr>
        <w:rPr>
          <w:rFonts w:hint="default"/>
          <w:lang w:val="en-US" w:eastAsia="zh-CN"/>
        </w:rPr>
      </w:pPr>
    </w:p>
    <w:sectPr>
      <w:headerReference r:id="rId8" w:type="default"/>
      <w:footerReference r:id="rId9" w:type="default"/>
      <w:pgSz w:w="11906" w:h="16838"/>
      <w:pgMar w:top="720" w:right="720" w:bottom="720" w:left="72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ACDF">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8493">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72FB">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72F3">
    <w:pPr>
      <w:pStyle w:val="14"/>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重要文件，请仔细阅读、理解、应用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7B5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BE4B4">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6FB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D06F"/>
    <w:multiLevelType w:val="singleLevel"/>
    <w:tmpl w:val="80CCD06F"/>
    <w:lvl w:ilvl="0" w:tentative="0">
      <w:start w:val="1"/>
      <w:numFmt w:val="decimal"/>
      <w:pStyle w:val="28"/>
      <w:suff w:val="nothing"/>
      <w:lvlText w:val="附件%1 "/>
      <w:lvlJc w:val="left"/>
      <w:pPr>
        <w:tabs>
          <w:tab w:val="left" w:pos="0"/>
        </w:tabs>
        <w:ind w:left="0" w:firstLine="420"/>
      </w:pPr>
      <w:rPr>
        <w:rFonts w:hint="default"/>
      </w:rPr>
    </w:lvl>
  </w:abstractNum>
  <w:abstractNum w:abstractNumId="1">
    <w:nsid w:val="8CEC4E6D"/>
    <w:multiLevelType w:val="singleLevel"/>
    <w:tmpl w:val="8CEC4E6D"/>
    <w:lvl w:ilvl="0" w:tentative="0">
      <w:start w:val="1"/>
      <w:numFmt w:val="chineseCounting"/>
      <w:suff w:val="nothing"/>
      <w:lvlText w:val="%1、"/>
      <w:lvlJc w:val="left"/>
      <w:pPr>
        <w:ind w:left="0" w:firstLine="420"/>
      </w:pPr>
      <w:rPr>
        <w:rFonts w:hint="eastAsia"/>
      </w:rPr>
    </w:lvl>
  </w:abstractNum>
  <w:abstractNum w:abstractNumId="2">
    <w:nsid w:val="C070BB49"/>
    <w:multiLevelType w:val="singleLevel"/>
    <w:tmpl w:val="C070BB49"/>
    <w:lvl w:ilvl="0" w:tentative="0">
      <w:start w:val="1"/>
      <w:numFmt w:val="decimal"/>
      <w:lvlText w:val="%1."/>
      <w:lvlJc w:val="left"/>
      <w:pPr>
        <w:ind w:left="425" w:hanging="425"/>
      </w:pPr>
      <w:rPr>
        <w:rFonts w:hint="default"/>
      </w:rPr>
    </w:lvl>
  </w:abstractNum>
  <w:abstractNum w:abstractNumId="3">
    <w:nsid w:val="E509F084"/>
    <w:multiLevelType w:val="singleLevel"/>
    <w:tmpl w:val="E509F084"/>
    <w:lvl w:ilvl="0" w:tentative="0">
      <w:start w:val="1"/>
      <w:numFmt w:val="decimal"/>
      <w:lvlText w:val="%1."/>
      <w:lvlJc w:val="left"/>
      <w:pPr>
        <w:ind w:left="425" w:hanging="425"/>
      </w:pPr>
      <w:rPr>
        <w:rFonts w:hint="default"/>
      </w:rPr>
    </w:lvl>
  </w:abstractNum>
  <w:abstractNum w:abstractNumId="4">
    <w:nsid w:val="070FFFF6"/>
    <w:multiLevelType w:val="singleLevel"/>
    <w:tmpl w:val="070FFFF6"/>
    <w:lvl w:ilvl="0" w:tentative="0">
      <w:start w:val="1"/>
      <w:numFmt w:val="decimal"/>
      <w:lvlText w:val="%1."/>
      <w:lvlJc w:val="left"/>
      <w:pPr>
        <w:ind w:left="425" w:hanging="425"/>
      </w:pPr>
      <w:rPr>
        <w:rFonts w:hint="default"/>
      </w:rPr>
    </w:lvl>
  </w:abstractNum>
  <w:abstractNum w:abstractNumId="5">
    <w:nsid w:val="076B3B74"/>
    <w:multiLevelType w:val="singleLevel"/>
    <w:tmpl w:val="076B3B74"/>
    <w:lvl w:ilvl="0" w:tentative="0">
      <w:start w:val="1"/>
      <w:numFmt w:val="decimal"/>
      <w:lvlText w:val="%1."/>
      <w:lvlJc w:val="left"/>
      <w:pPr>
        <w:ind w:left="425" w:hanging="425"/>
      </w:pPr>
      <w:rPr>
        <w:rFonts w:hint="default"/>
      </w:rPr>
    </w:lvl>
  </w:abstractNum>
  <w:abstractNum w:abstractNumId="6">
    <w:nsid w:val="2256DD64"/>
    <w:multiLevelType w:val="singleLevel"/>
    <w:tmpl w:val="2256DD64"/>
    <w:lvl w:ilvl="0" w:tentative="0">
      <w:start w:val="1"/>
      <w:numFmt w:val="upperLetter"/>
      <w:lvlText w:val="%1."/>
      <w:lvlJc w:val="left"/>
      <w:pPr>
        <w:ind w:left="425" w:hanging="425"/>
      </w:pPr>
      <w:rPr>
        <w:rFonts w:hint="default"/>
      </w:rPr>
    </w:lvl>
  </w:abstractNum>
  <w:abstractNum w:abstractNumId="7">
    <w:nsid w:val="2DB2C57E"/>
    <w:multiLevelType w:val="singleLevel"/>
    <w:tmpl w:val="2DB2C57E"/>
    <w:lvl w:ilvl="0" w:tentative="0">
      <w:start w:val="1"/>
      <w:numFmt w:val="decimal"/>
      <w:lvlText w:val="%1."/>
      <w:lvlJc w:val="left"/>
      <w:pPr>
        <w:ind w:left="425" w:hanging="425"/>
      </w:pPr>
      <w:rPr>
        <w:rFonts w:hint="default"/>
      </w:rPr>
    </w:lvl>
  </w:abstractNum>
  <w:abstractNum w:abstractNumId="8">
    <w:nsid w:val="333645DA"/>
    <w:multiLevelType w:val="multilevel"/>
    <w:tmpl w:val="333645D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7069AF32"/>
    <w:multiLevelType w:val="singleLevel"/>
    <w:tmpl w:val="7069AF32"/>
    <w:lvl w:ilvl="0" w:tentative="0">
      <w:start w:val="1"/>
      <w:numFmt w:val="decimal"/>
      <w:lvlText w:val="%1."/>
      <w:lvlJc w:val="left"/>
      <w:pPr>
        <w:ind w:left="425" w:hanging="425"/>
      </w:pPr>
      <w:rPr>
        <w:rFonts w:hint="default"/>
      </w:rPr>
    </w:lvl>
  </w:abstractNum>
  <w:abstractNum w:abstractNumId="10">
    <w:nsid w:val="76D5B4C9"/>
    <w:multiLevelType w:val="singleLevel"/>
    <w:tmpl w:val="76D5B4C9"/>
    <w:lvl w:ilvl="0" w:tentative="0">
      <w:start w:val="1"/>
      <w:numFmt w:val="decimal"/>
      <w:lvlText w:val="%1."/>
      <w:lvlJc w:val="left"/>
      <w:pPr>
        <w:ind w:left="425" w:hanging="425"/>
      </w:pPr>
      <w:rPr>
        <w:rFonts w:hint="default"/>
      </w:rPr>
    </w:lvl>
  </w:abstractNum>
  <w:abstractNum w:abstractNumId="11">
    <w:nsid w:val="78F4F3A5"/>
    <w:multiLevelType w:val="multilevel"/>
    <w:tmpl w:val="78F4F3A5"/>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2">
    <w:nsid w:val="7C643587"/>
    <w:multiLevelType w:val="singleLevel"/>
    <w:tmpl w:val="7C643587"/>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0"/>
  </w:num>
  <w:num w:numId="3">
    <w:abstractNumId w:val="4"/>
  </w:num>
  <w:num w:numId="4">
    <w:abstractNumId w:val="6"/>
  </w:num>
  <w:num w:numId="5">
    <w:abstractNumId w:val="12"/>
  </w:num>
  <w:num w:numId="6">
    <w:abstractNumId w:val="2"/>
  </w:num>
  <w:num w:numId="7">
    <w:abstractNumId w:val="3"/>
  </w:num>
  <w:num w:numId="8">
    <w:abstractNumId w:val="10"/>
  </w:num>
  <w:num w:numId="9">
    <w:abstractNumId w:val="9"/>
  </w:num>
  <w:num w:numId="10">
    <w:abstractNumId w:val="8"/>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DU4YzQ5ODQwY2MzNjQ2MDFmNjdkNWNhMDQ4ZWIifQ=="/>
  </w:docVars>
  <w:rsids>
    <w:rsidRoot w:val="00E619A8"/>
    <w:rsid w:val="000B6DEC"/>
    <w:rsid w:val="00102661"/>
    <w:rsid w:val="00112829"/>
    <w:rsid w:val="00112C2F"/>
    <w:rsid w:val="001848ED"/>
    <w:rsid w:val="0019252B"/>
    <w:rsid w:val="001C49E4"/>
    <w:rsid w:val="001F6B48"/>
    <w:rsid w:val="0021450F"/>
    <w:rsid w:val="00241615"/>
    <w:rsid w:val="002571E0"/>
    <w:rsid w:val="002D09F6"/>
    <w:rsid w:val="002D6CBD"/>
    <w:rsid w:val="00304EA0"/>
    <w:rsid w:val="0035357A"/>
    <w:rsid w:val="003A6D54"/>
    <w:rsid w:val="003D42C7"/>
    <w:rsid w:val="003E32EE"/>
    <w:rsid w:val="004428BB"/>
    <w:rsid w:val="004657F4"/>
    <w:rsid w:val="004A387B"/>
    <w:rsid w:val="004A6C3B"/>
    <w:rsid w:val="004B18DB"/>
    <w:rsid w:val="004B532B"/>
    <w:rsid w:val="004C7B54"/>
    <w:rsid w:val="004E10A1"/>
    <w:rsid w:val="00521116"/>
    <w:rsid w:val="0053248B"/>
    <w:rsid w:val="0055503E"/>
    <w:rsid w:val="00594E36"/>
    <w:rsid w:val="00633295"/>
    <w:rsid w:val="006463CA"/>
    <w:rsid w:val="006A1C5F"/>
    <w:rsid w:val="006F2183"/>
    <w:rsid w:val="007015D0"/>
    <w:rsid w:val="00703C16"/>
    <w:rsid w:val="00782993"/>
    <w:rsid w:val="0079090D"/>
    <w:rsid w:val="007D2128"/>
    <w:rsid w:val="0081426B"/>
    <w:rsid w:val="008246AF"/>
    <w:rsid w:val="00886682"/>
    <w:rsid w:val="009338B7"/>
    <w:rsid w:val="00A26500"/>
    <w:rsid w:val="00A82ED2"/>
    <w:rsid w:val="00AF43D7"/>
    <w:rsid w:val="00B063B7"/>
    <w:rsid w:val="00BA0B66"/>
    <w:rsid w:val="00C57B9A"/>
    <w:rsid w:val="00C741BC"/>
    <w:rsid w:val="00C9444B"/>
    <w:rsid w:val="00CA7B03"/>
    <w:rsid w:val="00CC20FD"/>
    <w:rsid w:val="00D22C01"/>
    <w:rsid w:val="00D563D8"/>
    <w:rsid w:val="00D609B8"/>
    <w:rsid w:val="00D72A68"/>
    <w:rsid w:val="00DA09A6"/>
    <w:rsid w:val="00DC062B"/>
    <w:rsid w:val="00DC37E4"/>
    <w:rsid w:val="00E54AC1"/>
    <w:rsid w:val="00E619A8"/>
    <w:rsid w:val="00EB6833"/>
    <w:rsid w:val="00F25578"/>
    <w:rsid w:val="00F35D25"/>
    <w:rsid w:val="00FD6F38"/>
    <w:rsid w:val="00FF0913"/>
    <w:rsid w:val="012D0D9E"/>
    <w:rsid w:val="015C3B20"/>
    <w:rsid w:val="016E2F6B"/>
    <w:rsid w:val="01B56817"/>
    <w:rsid w:val="01DA7C98"/>
    <w:rsid w:val="01E0373D"/>
    <w:rsid w:val="025D6005"/>
    <w:rsid w:val="02976E93"/>
    <w:rsid w:val="04454854"/>
    <w:rsid w:val="044F4975"/>
    <w:rsid w:val="04690FF0"/>
    <w:rsid w:val="04A75E09"/>
    <w:rsid w:val="04A80FE6"/>
    <w:rsid w:val="050163DC"/>
    <w:rsid w:val="05E51393"/>
    <w:rsid w:val="05F42B1D"/>
    <w:rsid w:val="067439D1"/>
    <w:rsid w:val="06B47B0B"/>
    <w:rsid w:val="06CD634A"/>
    <w:rsid w:val="07A463F0"/>
    <w:rsid w:val="07E4638E"/>
    <w:rsid w:val="08E43B13"/>
    <w:rsid w:val="09502F56"/>
    <w:rsid w:val="095728DC"/>
    <w:rsid w:val="09691C90"/>
    <w:rsid w:val="09DE66AB"/>
    <w:rsid w:val="0A1E618E"/>
    <w:rsid w:val="0A2D14EA"/>
    <w:rsid w:val="0A794352"/>
    <w:rsid w:val="0A7C0C5C"/>
    <w:rsid w:val="0ACB52B0"/>
    <w:rsid w:val="0B7A42BB"/>
    <w:rsid w:val="0BD75CA7"/>
    <w:rsid w:val="0C4F1380"/>
    <w:rsid w:val="0C7E77DC"/>
    <w:rsid w:val="0C8F3D96"/>
    <w:rsid w:val="0D92073A"/>
    <w:rsid w:val="0DB036D7"/>
    <w:rsid w:val="0E4B7772"/>
    <w:rsid w:val="0E653000"/>
    <w:rsid w:val="0EAD49A7"/>
    <w:rsid w:val="103B3681"/>
    <w:rsid w:val="10482EA5"/>
    <w:rsid w:val="10E25A06"/>
    <w:rsid w:val="110716A5"/>
    <w:rsid w:val="11417D86"/>
    <w:rsid w:val="11AE6D43"/>
    <w:rsid w:val="11EA7F82"/>
    <w:rsid w:val="120174E4"/>
    <w:rsid w:val="12835B2B"/>
    <w:rsid w:val="12A224B5"/>
    <w:rsid w:val="12A23D01"/>
    <w:rsid w:val="13CA5754"/>
    <w:rsid w:val="14076372"/>
    <w:rsid w:val="1411088D"/>
    <w:rsid w:val="14144435"/>
    <w:rsid w:val="14532906"/>
    <w:rsid w:val="1494463F"/>
    <w:rsid w:val="150C5E59"/>
    <w:rsid w:val="157A53F8"/>
    <w:rsid w:val="16817517"/>
    <w:rsid w:val="16C9125E"/>
    <w:rsid w:val="179113DD"/>
    <w:rsid w:val="17CD5D45"/>
    <w:rsid w:val="18BF1EA7"/>
    <w:rsid w:val="196802E0"/>
    <w:rsid w:val="19761A5B"/>
    <w:rsid w:val="19992CA5"/>
    <w:rsid w:val="19B843E6"/>
    <w:rsid w:val="19F9645A"/>
    <w:rsid w:val="1A3D79D1"/>
    <w:rsid w:val="1B254510"/>
    <w:rsid w:val="1B304996"/>
    <w:rsid w:val="1B4C5D10"/>
    <w:rsid w:val="1BB903FE"/>
    <w:rsid w:val="1D613930"/>
    <w:rsid w:val="1D8E4BE5"/>
    <w:rsid w:val="1DC835AB"/>
    <w:rsid w:val="1F1B0F38"/>
    <w:rsid w:val="1F470E6A"/>
    <w:rsid w:val="20BA6BC3"/>
    <w:rsid w:val="21696E53"/>
    <w:rsid w:val="220A2C9C"/>
    <w:rsid w:val="22127ADE"/>
    <w:rsid w:val="229117B1"/>
    <w:rsid w:val="230439CF"/>
    <w:rsid w:val="23792EBE"/>
    <w:rsid w:val="23C94A83"/>
    <w:rsid w:val="24B15EB9"/>
    <w:rsid w:val="24CD6279"/>
    <w:rsid w:val="24D90788"/>
    <w:rsid w:val="25040E9B"/>
    <w:rsid w:val="254650AE"/>
    <w:rsid w:val="268F1EB2"/>
    <w:rsid w:val="26AC55F3"/>
    <w:rsid w:val="278D0960"/>
    <w:rsid w:val="27DC0C69"/>
    <w:rsid w:val="28650375"/>
    <w:rsid w:val="292B2AE9"/>
    <w:rsid w:val="298C4DCD"/>
    <w:rsid w:val="2A2D0CE4"/>
    <w:rsid w:val="2A6C3598"/>
    <w:rsid w:val="2AD7256C"/>
    <w:rsid w:val="2B2E60BD"/>
    <w:rsid w:val="2B5D620B"/>
    <w:rsid w:val="2C4C7ABB"/>
    <w:rsid w:val="2C6577AD"/>
    <w:rsid w:val="2CEC5487"/>
    <w:rsid w:val="2CF15C51"/>
    <w:rsid w:val="2CF710AA"/>
    <w:rsid w:val="2D087520"/>
    <w:rsid w:val="2D0F75A5"/>
    <w:rsid w:val="2D190460"/>
    <w:rsid w:val="2D39592C"/>
    <w:rsid w:val="2D5F11F4"/>
    <w:rsid w:val="2D8B5B0F"/>
    <w:rsid w:val="2D9B6A99"/>
    <w:rsid w:val="2E051CB2"/>
    <w:rsid w:val="2E3D357E"/>
    <w:rsid w:val="2E815010"/>
    <w:rsid w:val="2E8320B8"/>
    <w:rsid w:val="2EEB409A"/>
    <w:rsid w:val="2EFE0E73"/>
    <w:rsid w:val="2F267DBF"/>
    <w:rsid w:val="2F725B46"/>
    <w:rsid w:val="31CA4B7F"/>
    <w:rsid w:val="32381129"/>
    <w:rsid w:val="324234D5"/>
    <w:rsid w:val="32583F98"/>
    <w:rsid w:val="329D695D"/>
    <w:rsid w:val="32A31D22"/>
    <w:rsid w:val="32E86094"/>
    <w:rsid w:val="33154E93"/>
    <w:rsid w:val="339C7C7F"/>
    <w:rsid w:val="34E73EBF"/>
    <w:rsid w:val="35137533"/>
    <w:rsid w:val="351D2E62"/>
    <w:rsid w:val="35FE6418"/>
    <w:rsid w:val="36161EE1"/>
    <w:rsid w:val="366A6AFE"/>
    <w:rsid w:val="36E33AB1"/>
    <w:rsid w:val="37022ABB"/>
    <w:rsid w:val="37E31DBB"/>
    <w:rsid w:val="38594BF3"/>
    <w:rsid w:val="38B237D8"/>
    <w:rsid w:val="39191D3B"/>
    <w:rsid w:val="39D76A55"/>
    <w:rsid w:val="3A2E29CB"/>
    <w:rsid w:val="3A820A56"/>
    <w:rsid w:val="3A8B676C"/>
    <w:rsid w:val="3AA24609"/>
    <w:rsid w:val="3AAF51DA"/>
    <w:rsid w:val="3AD31A8D"/>
    <w:rsid w:val="3B0D4C8B"/>
    <w:rsid w:val="3B717074"/>
    <w:rsid w:val="3BEF756B"/>
    <w:rsid w:val="3C2514DF"/>
    <w:rsid w:val="3CDD478E"/>
    <w:rsid w:val="3D314E9B"/>
    <w:rsid w:val="3D571F3E"/>
    <w:rsid w:val="3D6568F8"/>
    <w:rsid w:val="3E4B02AC"/>
    <w:rsid w:val="3E904916"/>
    <w:rsid w:val="3E945FB0"/>
    <w:rsid w:val="3EA80D16"/>
    <w:rsid w:val="3EEF6792"/>
    <w:rsid w:val="3F5452C3"/>
    <w:rsid w:val="3F747419"/>
    <w:rsid w:val="3FF17476"/>
    <w:rsid w:val="4041301D"/>
    <w:rsid w:val="405D597D"/>
    <w:rsid w:val="40BC27D8"/>
    <w:rsid w:val="40CF0629"/>
    <w:rsid w:val="416F6D17"/>
    <w:rsid w:val="423563AB"/>
    <w:rsid w:val="42BE526E"/>
    <w:rsid w:val="44392C44"/>
    <w:rsid w:val="44516AA5"/>
    <w:rsid w:val="44CB735A"/>
    <w:rsid w:val="4548730C"/>
    <w:rsid w:val="45F14986"/>
    <w:rsid w:val="465051E1"/>
    <w:rsid w:val="46E63068"/>
    <w:rsid w:val="46FA2376"/>
    <w:rsid w:val="472B7CC8"/>
    <w:rsid w:val="47604591"/>
    <w:rsid w:val="47BE7AFD"/>
    <w:rsid w:val="488B08C2"/>
    <w:rsid w:val="497560E9"/>
    <w:rsid w:val="49B567A0"/>
    <w:rsid w:val="4A875AD1"/>
    <w:rsid w:val="4B8B2296"/>
    <w:rsid w:val="4C03387D"/>
    <w:rsid w:val="4C693765"/>
    <w:rsid w:val="4D0C7577"/>
    <w:rsid w:val="4E4F1A76"/>
    <w:rsid w:val="4F2F1886"/>
    <w:rsid w:val="4F3B1580"/>
    <w:rsid w:val="4F7030C5"/>
    <w:rsid w:val="4F934FD5"/>
    <w:rsid w:val="4FA26EED"/>
    <w:rsid w:val="503A4F1F"/>
    <w:rsid w:val="504B2249"/>
    <w:rsid w:val="50653564"/>
    <w:rsid w:val="51151862"/>
    <w:rsid w:val="51E14C3E"/>
    <w:rsid w:val="522C52B5"/>
    <w:rsid w:val="52377BDB"/>
    <w:rsid w:val="527B7257"/>
    <w:rsid w:val="531A4DD4"/>
    <w:rsid w:val="53D045BD"/>
    <w:rsid w:val="53D141ED"/>
    <w:rsid w:val="54017117"/>
    <w:rsid w:val="54177EC5"/>
    <w:rsid w:val="542577F8"/>
    <w:rsid w:val="54C93027"/>
    <w:rsid w:val="54FC1596"/>
    <w:rsid w:val="555606A4"/>
    <w:rsid w:val="55A90D9E"/>
    <w:rsid w:val="55F57606"/>
    <w:rsid w:val="56407BD9"/>
    <w:rsid w:val="568339E2"/>
    <w:rsid w:val="56DE4C90"/>
    <w:rsid w:val="57497BC3"/>
    <w:rsid w:val="57763155"/>
    <w:rsid w:val="58B31BDC"/>
    <w:rsid w:val="590E16AF"/>
    <w:rsid w:val="59242993"/>
    <w:rsid w:val="592B5B5A"/>
    <w:rsid w:val="594C5F04"/>
    <w:rsid w:val="59A76862"/>
    <w:rsid w:val="5A1A05C1"/>
    <w:rsid w:val="5A5D5A97"/>
    <w:rsid w:val="5ADD380D"/>
    <w:rsid w:val="5B191999"/>
    <w:rsid w:val="5B253CD2"/>
    <w:rsid w:val="5B2F1F99"/>
    <w:rsid w:val="5B8E5344"/>
    <w:rsid w:val="5B98734E"/>
    <w:rsid w:val="5BA03FE5"/>
    <w:rsid w:val="5C0F3BD9"/>
    <w:rsid w:val="5CF60894"/>
    <w:rsid w:val="5D463AA6"/>
    <w:rsid w:val="5DD6624A"/>
    <w:rsid w:val="5DEB7849"/>
    <w:rsid w:val="5E27164D"/>
    <w:rsid w:val="5E37430A"/>
    <w:rsid w:val="5E6672DD"/>
    <w:rsid w:val="5E8E2CF9"/>
    <w:rsid w:val="5EAB0FB0"/>
    <w:rsid w:val="5F245150"/>
    <w:rsid w:val="5FCD5A90"/>
    <w:rsid w:val="5FEF40DB"/>
    <w:rsid w:val="60B77271"/>
    <w:rsid w:val="61062540"/>
    <w:rsid w:val="617578B4"/>
    <w:rsid w:val="61BE331C"/>
    <w:rsid w:val="61EE7503"/>
    <w:rsid w:val="62CB1013"/>
    <w:rsid w:val="6354042C"/>
    <w:rsid w:val="63934232"/>
    <w:rsid w:val="639A288E"/>
    <w:rsid w:val="63A10B6C"/>
    <w:rsid w:val="63D97499"/>
    <w:rsid w:val="6478149E"/>
    <w:rsid w:val="64D91D9A"/>
    <w:rsid w:val="650E5897"/>
    <w:rsid w:val="655D7702"/>
    <w:rsid w:val="65765CA3"/>
    <w:rsid w:val="65865E9F"/>
    <w:rsid w:val="658F729A"/>
    <w:rsid w:val="65A65613"/>
    <w:rsid w:val="65C55FE7"/>
    <w:rsid w:val="66017EFB"/>
    <w:rsid w:val="66C41727"/>
    <w:rsid w:val="66E637B9"/>
    <w:rsid w:val="67390F85"/>
    <w:rsid w:val="678D7B72"/>
    <w:rsid w:val="6861460E"/>
    <w:rsid w:val="68625C1C"/>
    <w:rsid w:val="695F37D3"/>
    <w:rsid w:val="6B0418E7"/>
    <w:rsid w:val="6B0909F6"/>
    <w:rsid w:val="6B14187A"/>
    <w:rsid w:val="6B715992"/>
    <w:rsid w:val="6C582222"/>
    <w:rsid w:val="6CC07DFA"/>
    <w:rsid w:val="6CF35827"/>
    <w:rsid w:val="6D955854"/>
    <w:rsid w:val="6DBA3CAB"/>
    <w:rsid w:val="6DEB0AC4"/>
    <w:rsid w:val="6E7E01A9"/>
    <w:rsid w:val="6E924B83"/>
    <w:rsid w:val="6F5A3B4B"/>
    <w:rsid w:val="6F8316A0"/>
    <w:rsid w:val="70626515"/>
    <w:rsid w:val="70703362"/>
    <w:rsid w:val="71127CF1"/>
    <w:rsid w:val="71EA2762"/>
    <w:rsid w:val="7225528D"/>
    <w:rsid w:val="7241309C"/>
    <w:rsid w:val="72473C14"/>
    <w:rsid w:val="72513F19"/>
    <w:rsid w:val="727D69DC"/>
    <w:rsid w:val="72C41B46"/>
    <w:rsid w:val="72CD6DFD"/>
    <w:rsid w:val="72D65639"/>
    <w:rsid w:val="73651920"/>
    <w:rsid w:val="739E16B7"/>
    <w:rsid w:val="74153A89"/>
    <w:rsid w:val="74746816"/>
    <w:rsid w:val="757434A6"/>
    <w:rsid w:val="758E7822"/>
    <w:rsid w:val="75BF2B20"/>
    <w:rsid w:val="760B7133"/>
    <w:rsid w:val="761F5C21"/>
    <w:rsid w:val="76746FA2"/>
    <w:rsid w:val="76AE39A1"/>
    <w:rsid w:val="76B02367"/>
    <w:rsid w:val="77106137"/>
    <w:rsid w:val="779535E4"/>
    <w:rsid w:val="78110EF8"/>
    <w:rsid w:val="78863D8B"/>
    <w:rsid w:val="78BA359E"/>
    <w:rsid w:val="78C64DC1"/>
    <w:rsid w:val="78C728B3"/>
    <w:rsid w:val="793F1560"/>
    <w:rsid w:val="796A3742"/>
    <w:rsid w:val="79E916CD"/>
    <w:rsid w:val="79FE0EE6"/>
    <w:rsid w:val="7A405E3E"/>
    <w:rsid w:val="7A55081F"/>
    <w:rsid w:val="7A82306D"/>
    <w:rsid w:val="7B170231"/>
    <w:rsid w:val="7B3A4D4A"/>
    <w:rsid w:val="7BE95BD1"/>
    <w:rsid w:val="7C560B28"/>
    <w:rsid w:val="7CB26E0B"/>
    <w:rsid w:val="7D2232B3"/>
    <w:rsid w:val="7D4F26BF"/>
    <w:rsid w:val="7DC93DF6"/>
    <w:rsid w:val="7DD82857"/>
    <w:rsid w:val="7E1F0B73"/>
    <w:rsid w:val="7E5302AF"/>
    <w:rsid w:val="7E5F3050"/>
    <w:rsid w:val="7EC26ED1"/>
    <w:rsid w:val="7EEA3C82"/>
    <w:rsid w:val="7F275939"/>
    <w:rsid w:val="7F420A3D"/>
    <w:rsid w:val="7F8029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
    <w:pPr>
      <w:keepNext/>
      <w:keepLines/>
      <w:numPr>
        <w:ilvl w:val="0"/>
        <w:numId w:val="1"/>
      </w:numPr>
      <w:spacing w:beforeLines="0" w:beforeAutospacing="0" w:afterLines="0" w:afterAutospacing="0" w:line="520" w:lineRule="exact"/>
      <w:ind w:firstLine="880" w:firstLineChars="200"/>
      <w:outlineLvl w:val="0"/>
    </w:pPr>
    <w:rPr>
      <w:rFonts w:eastAsia="黑体"/>
      <w:kern w:val="44"/>
      <w:sz w:val="32"/>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Arial" w:hAnsi="Arial" w:eastAsia="黑体"/>
      <w:sz w:val="20"/>
    </w:rPr>
  </w:style>
  <w:style w:type="paragraph" w:styleId="12">
    <w:name w:val="Balloon Text"/>
    <w:basedOn w:val="1"/>
    <w:link w:val="23"/>
    <w:unhideWhenUsed/>
    <w:qFormat/>
    <w:uiPriority w:val="99"/>
    <w:rPr>
      <w:sz w:val="18"/>
      <w:szCs w:val="18"/>
    </w:rPr>
  </w:style>
  <w:style w:type="paragraph" w:styleId="13">
    <w:name w:val="footer"/>
    <w:basedOn w:val="1"/>
    <w:link w:val="24"/>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next w:val="1"/>
    <w:unhideWhenUsed/>
    <w:qFormat/>
    <w:uiPriority w:val="39"/>
    <w:pPr>
      <w:keepNext/>
      <w:keepLines/>
      <w:widowControl/>
      <w:autoSpaceDE w:val="0"/>
      <w:autoSpaceDN w:val="0"/>
      <w:adjustRightInd w:val="0"/>
      <w:spacing w:line="360" w:lineRule="auto"/>
    </w:pPr>
    <w:rPr>
      <w:rFonts w:ascii="宋体" w:hAnsi="宋体" w:eastAsia="宋体" w:cs="宋体"/>
      <w:sz w:val="28"/>
      <w:szCs w:val="22"/>
      <w:lang w:val="en-US" w:eastAsia="zh-CN" w:bidi="ar-SA"/>
    </w:rPr>
  </w:style>
  <w:style w:type="table" w:styleId="17">
    <w:name w:val="Table Grid"/>
    <w:basedOn w:val="1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unhideWhenUsed/>
    <w:qFormat/>
    <w:uiPriority w:val="99"/>
    <w:rPr>
      <w:color w:val="4600A5"/>
      <w:u w:val="single"/>
    </w:rPr>
  </w:style>
  <w:style w:type="character" w:styleId="21">
    <w:name w:val="Hyperlink"/>
    <w:qFormat/>
    <w:uiPriority w:val="99"/>
    <w:rPr>
      <w:rFonts w:cs="Times New Roman"/>
      <w:color w:val="0000FF"/>
      <w:u w:val="single"/>
    </w:rPr>
  </w:style>
  <w:style w:type="character" w:customStyle="1" w:styleId="22">
    <w:name w:val="标题 1 Char"/>
    <w:link w:val="2"/>
    <w:qFormat/>
    <w:uiPriority w:val="0"/>
    <w:rPr>
      <w:rFonts w:eastAsia="黑体"/>
      <w:kern w:val="44"/>
      <w:sz w:val="32"/>
    </w:rPr>
  </w:style>
  <w:style w:type="character" w:customStyle="1" w:styleId="23">
    <w:name w:val="批注框文本 Char"/>
    <w:link w:val="12"/>
    <w:semiHidden/>
    <w:qFormat/>
    <w:uiPriority w:val="99"/>
    <w:rPr>
      <w:rFonts w:ascii="Calibri" w:hAnsi="Calibri" w:eastAsia="宋体" w:cs="Calibri"/>
      <w:sz w:val="18"/>
      <w:szCs w:val="18"/>
    </w:rPr>
  </w:style>
  <w:style w:type="character" w:customStyle="1" w:styleId="24">
    <w:name w:val="页脚 Char"/>
    <w:link w:val="13"/>
    <w:qFormat/>
    <w:uiPriority w:val="0"/>
    <w:rPr>
      <w:sz w:val="18"/>
      <w:szCs w:val="18"/>
    </w:rPr>
  </w:style>
  <w:style w:type="paragraph" w:customStyle="1" w:styleId="25">
    <w:name w:val="列出段落11"/>
    <w:basedOn w:val="1"/>
    <w:qFormat/>
    <w:uiPriority w:val="34"/>
    <w:pPr>
      <w:ind w:firstLine="420" w:firstLineChars="200"/>
    </w:pPr>
    <w:rPr>
      <w:rFonts w:cs="Times New Roman"/>
      <w:szCs w:val="22"/>
    </w:rPr>
  </w:style>
  <w:style w:type="paragraph" w:customStyle="1" w:styleId="26">
    <w:name w:val="列出段落1"/>
    <w:basedOn w:val="1"/>
    <w:qFormat/>
    <w:uiPriority w:val="0"/>
    <w:pPr>
      <w:ind w:firstLine="420" w:firstLineChars="200"/>
    </w:pPr>
  </w:style>
  <w:style w:type="paragraph" w:customStyle="1" w:styleId="27">
    <w:name w:val="16字号正文仿宋，缩进2"/>
    <w:basedOn w:val="1"/>
    <w:qFormat/>
    <w:uiPriority w:val="0"/>
    <w:pPr>
      <w:spacing w:line="560" w:lineRule="exact"/>
      <w:ind w:firstLine="880" w:firstLineChars="200"/>
      <w:jc w:val="both"/>
    </w:pPr>
    <w:rPr>
      <w:rFonts w:eastAsia="华文仿宋"/>
      <w:sz w:val="32"/>
    </w:rPr>
  </w:style>
  <w:style w:type="paragraph" w:customStyle="1" w:styleId="28">
    <w:name w:val="附件顺序编号"/>
    <w:basedOn w:val="2"/>
    <w:next w:val="1"/>
    <w:link w:val="29"/>
    <w:qFormat/>
    <w:uiPriority w:val="0"/>
    <w:pPr>
      <w:numPr>
        <w:numId w:val="2"/>
      </w:numPr>
      <w:tabs>
        <w:tab w:val="left" w:pos="0"/>
      </w:tabs>
      <w:spacing w:line="560" w:lineRule="exact"/>
      <w:ind w:firstLine="420" w:firstLineChars="0"/>
    </w:pPr>
    <w:rPr>
      <w:rFonts w:hint="eastAsia" w:ascii="黑体" w:hAnsi="黑体" w:cs="Times New Roman"/>
      <w:szCs w:val="24"/>
    </w:rPr>
  </w:style>
  <w:style w:type="character" w:customStyle="1" w:styleId="29">
    <w:name w:val="附件顺序编号 Char"/>
    <w:link w:val="28"/>
    <w:qFormat/>
    <w:uiPriority w:val="0"/>
    <w:rPr>
      <w:rFonts w:hint="eastAsia" w:ascii="黑体" w:hAnsi="黑体" w:eastAsia="黑体" w:cs="Times New Roman"/>
      <w:szCs w:val="24"/>
    </w:rPr>
  </w:style>
  <w:style w:type="paragraph" w:customStyle="1" w:styleId="30">
    <w:name w:val="p0"/>
    <w:basedOn w:val="1"/>
    <w:qFormat/>
    <w:uiPriority w:val="0"/>
    <w:pPr>
      <w:widowControl/>
    </w:pPr>
    <w:rPr>
      <w:kern w:val="0"/>
      <w:szCs w:val="21"/>
    </w:rPr>
  </w:style>
  <w:style w:type="character" w:customStyle="1" w:styleId="31">
    <w:name w:val="font21"/>
    <w:basedOn w:val="1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jpe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9215</Words>
  <Characters>10050</Characters>
  <Lines>11</Lines>
  <Paragraphs>3</Paragraphs>
  <TotalTime>3</TotalTime>
  <ScaleCrop>false</ScaleCrop>
  <LinksUpToDate>false</LinksUpToDate>
  <CharactersWithSpaces>10081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2021-11-17T00:23:00Z</dcterms:created>
  <dc:creator>PC</dc:creator>
  <cp:lastModifiedBy>一路向北</cp:lastModifiedBy>
  <cp:lastPrinted>2024-12-03T05:53:00Z</cp:lastPrinted>
  <dcterms:modified xsi:type="dcterms:W3CDTF">2025-03-18T08:06:17Z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649D37443B8F425892F1FF11F7F65382_13</vt:lpwstr>
  </property>
  <property fmtid="{D5CDD505-2E9C-101B-9397-08002B2CF9AE}" pid="4" name="KSOTemplateDocerSaveRecord">
    <vt:lpwstr>eyJoZGlkIjoiZjBkMDU4YzQ5ODQwY2MzNjQ2MDFmNjdkNWNhMDQ4ZWIiLCJ1c2VySWQiOiI1Mjg0NzQzNjkifQ==</vt:lpwstr>
  </property>
</Properties>
</file>