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61EEA">
      <w:pPr>
        <w:spacing w:line="360" w:lineRule="auto"/>
        <w:rPr>
          <w:rFonts w:hint="eastAsia" w:ascii="仿宋" w:hAnsi="仿宋" w:eastAsia="仿宋" w:cs="仿宋"/>
          <w:sz w:val="44"/>
          <w:szCs w:val="44"/>
        </w:rPr>
      </w:pPr>
    </w:p>
    <w:p w14:paraId="12F841AF">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outlineLvl w:val="0"/>
        <w:rPr>
          <w:rFonts w:hint="eastAsia" w:ascii="仿宋" w:hAnsi="仿宋" w:eastAsia="仿宋" w:cs="仿宋"/>
          <w:b/>
          <w:sz w:val="44"/>
          <w:szCs w:val="44"/>
        </w:rPr>
      </w:pPr>
    </w:p>
    <w:p w14:paraId="45992EBB">
      <w:pPr>
        <w:pStyle w:val="2"/>
        <w:rPr>
          <w:rFonts w:hint="eastAsia"/>
          <w:sz w:val="21"/>
          <w:szCs w:val="21"/>
        </w:rPr>
      </w:pPr>
    </w:p>
    <w:p w14:paraId="0450FAC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sz w:val="44"/>
          <w:szCs w:val="44"/>
        </w:rPr>
      </w:pPr>
      <w:r>
        <w:rPr>
          <w:rFonts w:hint="eastAsia" w:ascii="仿宋" w:hAnsi="仿宋" w:eastAsia="仿宋" w:cs="仿宋"/>
          <w:b/>
          <w:sz w:val="44"/>
          <w:szCs w:val="44"/>
        </w:rPr>
        <w:t>山东金岭矿业股份有限公司</w:t>
      </w:r>
    </w:p>
    <w:p w14:paraId="3132C9A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sz w:val="44"/>
          <w:szCs w:val="44"/>
          <w:lang w:eastAsia="zh-CN"/>
        </w:rPr>
      </w:pPr>
      <w:r>
        <w:rPr>
          <w:rFonts w:hint="eastAsia" w:ascii="仿宋" w:hAnsi="仿宋" w:eastAsia="仿宋" w:cs="仿宋"/>
          <w:b/>
          <w:sz w:val="44"/>
          <w:szCs w:val="44"/>
          <w:lang w:eastAsia="zh-CN"/>
        </w:rPr>
        <w:t>2025年</w:t>
      </w:r>
      <w:r>
        <w:rPr>
          <w:rFonts w:hint="eastAsia" w:ascii="仿宋" w:hAnsi="仿宋" w:eastAsia="仿宋" w:cs="仿宋"/>
          <w:b/>
          <w:sz w:val="44"/>
          <w:szCs w:val="44"/>
        </w:rPr>
        <w:t>度物资定价</w:t>
      </w:r>
      <w:r>
        <w:rPr>
          <w:rFonts w:hint="eastAsia" w:ascii="仿宋" w:hAnsi="仿宋" w:eastAsia="仿宋" w:cs="仿宋"/>
          <w:b/>
          <w:sz w:val="44"/>
          <w:szCs w:val="44"/>
          <w:lang w:eastAsia="zh-CN"/>
        </w:rPr>
        <w:t>项目</w:t>
      </w:r>
    </w:p>
    <w:p w14:paraId="17FC3EEF">
      <w:pPr>
        <w:autoSpaceDE w:val="0"/>
        <w:autoSpaceDN w:val="0"/>
        <w:adjustRightInd w:val="0"/>
        <w:spacing w:line="360" w:lineRule="auto"/>
        <w:jc w:val="center"/>
        <w:outlineLvl w:val="1"/>
        <w:rPr>
          <w:rFonts w:hint="eastAsia" w:ascii="仿宋" w:hAnsi="仿宋" w:eastAsia="仿宋" w:cs="仿宋"/>
          <w:sz w:val="28"/>
          <w:szCs w:val="28"/>
        </w:rPr>
      </w:pPr>
      <w:r>
        <w:rPr>
          <w:rFonts w:hint="eastAsia" w:ascii="仿宋" w:hAnsi="仿宋" w:eastAsia="仿宋" w:cs="仿宋"/>
          <w:sz w:val="28"/>
          <w:szCs w:val="28"/>
          <w:highlight w:val="none"/>
        </w:rPr>
        <w:t>（项目编号：611399250401</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w:t>
      </w:r>
    </w:p>
    <w:p w14:paraId="3B7CC672">
      <w:pPr>
        <w:rPr>
          <w:rFonts w:hint="eastAsia" w:ascii="仿宋" w:hAnsi="仿宋" w:eastAsia="仿宋" w:cs="仿宋"/>
          <w:sz w:val="28"/>
          <w:szCs w:val="28"/>
        </w:rPr>
      </w:pPr>
    </w:p>
    <w:p w14:paraId="6397ECBA">
      <w:pPr>
        <w:pStyle w:val="2"/>
        <w:ind w:firstLine="420"/>
        <w:rPr>
          <w:rFonts w:hint="eastAsia" w:ascii="仿宋" w:hAnsi="仿宋" w:eastAsia="仿宋" w:cs="仿宋"/>
          <w:sz w:val="28"/>
          <w:szCs w:val="28"/>
        </w:rPr>
      </w:pPr>
    </w:p>
    <w:p w14:paraId="14ECDE20">
      <w:pPr>
        <w:ind w:firstLine="420"/>
        <w:rPr>
          <w:rFonts w:hint="eastAsia" w:ascii="仿宋" w:hAnsi="仿宋" w:eastAsia="仿宋" w:cs="仿宋"/>
          <w:sz w:val="28"/>
          <w:szCs w:val="28"/>
        </w:rPr>
      </w:pPr>
    </w:p>
    <w:p w14:paraId="48195CD0">
      <w:pPr>
        <w:pStyle w:val="2"/>
        <w:ind w:firstLine="420"/>
        <w:rPr>
          <w:rFonts w:hint="eastAsia" w:ascii="仿宋" w:hAnsi="仿宋" w:eastAsia="仿宋" w:cs="仿宋"/>
          <w:sz w:val="28"/>
          <w:szCs w:val="28"/>
        </w:rPr>
      </w:pPr>
    </w:p>
    <w:p w14:paraId="67C1391A">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outlineLvl w:val="0"/>
        <w:rPr>
          <w:rFonts w:hint="eastAsia" w:ascii="仿宋" w:hAnsi="仿宋" w:eastAsia="仿宋" w:cs="仿宋"/>
          <w:b/>
          <w:sz w:val="44"/>
          <w:szCs w:val="44"/>
        </w:rPr>
      </w:pPr>
      <w:r>
        <w:rPr>
          <w:rFonts w:hint="eastAsia" w:ascii="仿宋" w:hAnsi="仿宋" w:eastAsia="仿宋" w:cs="仿宋"/>
          <w:b/>
          <w:sz w:val="44"/>
          <w:szCs w:val="44"/>
        </w:rPr>
        <w:t>竞争性谈判公告</w:t>
      </w:r>
    </w:p>
    <w:p w14:paraId="6A0FE872">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仿宋" w:hAnsi="仿宋" w:eastAsia="仿宋" w:cs="仿宋"/>
          <w:b/>
          <w:sz w:val="28"/>
          <w:szCs w:val="28"/>
        </w:rPr>
      </w:pPr>
    </w:p>
    <w:p w14:paraId="3182675D">
      <w:pPr>
        <w:ind w:firstLine="420"/>
        <w:rPr>
          <w:rFonts w:hint="eastAsia" w:ascii="仿宋" w:hAnsi="仿宋" w:eastAsia="仿宋" w:cs="仿宋"/>
          <w:sz w:val="28"/>
          <w:szCs w:val="28"/>
        </w:rPr>
      </w:pPr>
    </w:p>
    <w:p w14:paraId="437EA434">
      <w:pPr>
        <w:ind w:firstLine="420"/>
        <w:rPr>
          <w:rFonts w:hint="eastAsia" w:ascii="仿宋" w:hAnsi="仿宋" w:eastAsia="仿宋" w:cs="仿宋"/>
          <w:sz w:val="28"/>
          <w:szCs w:val="28"/>
        </w:rPr>
      </w:pPr>
    </w:p>
    <w:p w14:paraId="29C9BA20">
      <w:pPr>
        <w:pStyle w:val="2"/>
        <w:rPr>
          <w:rFonts w:hint="eastAsia"/>
        </w:rPr>
      </w:pPr>
    </w:p>
    <w:p w14:paraId="5BA11E74">
      <w:pPr>
        <w:pStyle w:val="2"/>
        <w:rPr>
          <w:rFonts w:hint="eastAsia"/>
        </w:rPr>
      </w:pPr>
    </w:p>
    <w:p w14:paraId="6CB08274">
      <w:pPr>
        <w:rPr>
          <w:rFonts w:hint="eastAsia" w:ascii="仿宋" w:hAnsi="仿宋" w:eastAsia="仿宋" w:cs="仿宋"/>
          <w:sz w:val="28"/>
          <w:szCs w:val="28"/>
        </w:rPr>
      </w:pPr>
    </w:p>
    <w:p w14:paraId="69911743">
      <w:pPr>
        <w:autoSpaceDE w:val="0"/>
        <w:autoSpaceDN w:val="0"/>
        <w:adjustRightInd w:val="0"/>
        <w:spacing w:line="360" w:lineRule="auto"/>
        <w:jc w:val="center"/>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采购人： 山东</w:t>
      </w:r>
      <w:r>
        <w:rPr>
          <w:rFonts w:hint="eastAsia" w:ascii="仿宋" w:hAnsi="仿宋" w:eastAsia="仿宋" w:cs="仿宋"/>
          <w:sz w:val="28"/>
          <w:szCs w:val="28"/>
          <w:highlight w:val="none"/>
          <w:lang w:eastAsia="zh-CN"/>
        </w:rPr>
        <w:t>金岭</w:t>
      </w:r>
      <w:r>
        <w:rPr>
          <w:rFonts w:hint="eastAsia" w:ascii="仿宋" w:hAnsi="仿宋" w:eastAsia="仿宋" w:cs="仿宋"/>
          <w:sz w:val="28"/>
          <w:szCs w:val="28"/>
          <w:highlight w:val="none"/>
        </w:rPr>
        <w:t>矿业</w:t>
      </w:r>
      <w:r>
        <w:rPr>
          <w:rFonts w:hint="eastAsia" w:ascii="仿宋" w:hAnsi="仿宋" w:eastAsia="仿宋" w:cs="仿宋"/>
          <w:sz w:val="28"/>
          <w:szCs w:val="28"/>
          <w:highlight w:val="none"/>
          <w:lang w:eastAsia="zh-CN"/>
        </w:rPr>
        <w:t>股份</w:t>
      </w:r>
      <w:r>
        <w:rPr>
          <w:rFonts w:hint="eastAsia" w:ascii="仿宋" w:hAnsi="仿宋" w:eastAsia="仿宋" w:cs="仿宋"/>
          <w:sz w:val="28"/>
          <w:szCs w:val="28"/>
          <w:highlight w:val="none"/>
        </w:rPr>
        <w:t>有限公司</w:t>
      </w:r>
    </w:p>
    <w:p w14:paraId="05DE249D">
      <w:pPr>
        <w:autoSpaceDE w:val="0"/>
        <w:autoSpaceDN w:val="0"/>
        <w:adjustRightInd w:val="0"/>
        <w:spacing w:line="360" w:lineRule="auto"/>
        <w:jc w:val="center"/>
        <w:outlineLvl w:val="1"/>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2025年04月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日</w:t>
      </w:r>
    </w:p>
    <w:p w14:paraId="7DBED7CF">
      <w:pPr>
        <w:pStyle w:val="2"/>
        <w:rPr>
          <w:rFonts w:hint="eastAsia"/>
          <w:lang w:val="zh-CN"/>
        </w:rPr>
      </w:pPr>
    </w:p>
    <w:p w14:paraId="68FCCF68">
      <w:pPr>
        <w:keepNext w:val="0"/>
        <w:keepLines w:val="0"/>
        <w:pageBreakBefore w:val="0"/>
        <w:kinsoku/>
        <w:wordWrap/>
        <w:overflowPunct/>
        <w:topLinePunct w:val="0"/>
        <w:autoSpaceDE w:val="0"/>
        <w:autoSpaceDN w:val="0"/>
        <w:bidi w:val="0"/>
        <w:adjustRightIn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山东金岭矿业股份有限公司</w:t>
      </w:r>
      <w:r>
        <w:rPr>
          <w:rFonts w:hint="eastAsia" w:ascii="仿宋" w:hAnsi="仿宋" w:eastAsia="仿宋" w:cs="仿宋"/>
          <w:sz w:val="28"/>
          <w:szCs w:val="28"/>
          <w:highlight w:val="none"/>
        </w:rPr>
        <w:t>拟对</w:t>
      </w:r>
      <w:r>
        <w:rPr>
          <w:rFonts w:hint="eastAsia" w:ascii="仿宋" w:hAnsi="仿宋" w:eastAsia="仿宋" w:cs="仿宋"/>
          <w:sz w:val="28"/>
          <w:szCs w:val="28"/>
          <w:lang w:val="en-US" w:eastAsia="zh-CN"/>
        </w:rPr>
        <w:t>A 浮选油、B 磺药黑药、C 耐磨合金衬板、D 气体检测仪、E 速凝剂、F PE管、G 河北渣浆泵备件、H 浮选机备件、I 矿用传感器备件、J 博山渣浆泵备件、K 宣化凿岩台车备件、L 面粉、M 矿用牵引电机、N 运输带、O 耐磨陶瓷小叶片</w:t>
      </w:r>
      <w:r>
        <w:rPr>
          <w:rFonts w:hint="eastAsia" w:ascii="仿宋" w:hAnsi="仿宋" w:eastAsia="仿宋" w:cs="仿宋"/>
          <w:sz w:val="28"/>
          <w:szCs w:val="28"/>
        </w:rPr>
        <w:t>等</w:t>
      </w:r>
      <w:r>
        <w:rPr>
          <w:rFonts w:hint="eastAsia" w:ascii="仿宋" w:hAnsi="仿宋" w:eastAsia="仿宋" w:cs="仿宋"/>
          <w:sz w:val="28"/>
          <w:szCs w:val="28"/>
          <w:lang w:val="en-US" w:eastAsia="zh-CN"/>
        </w:rPr>
        <w:t>15</w:t>
      </w:r>
      <w:r>
        <w:rPr>
          <w:rFonts w:hint="eastAsia" w:ascii="仿宋" w:hAnsi="仿宋" w:eastAsia="仿宋" w:cs="仿宋"/>
          <w:sz w:val="28"/>
          <w:szCs w:val="28"/>
        </w:rPr>
        <w:t>个标段的年度物资进行</w:t>
      </w:r>
      <w:r>
        <w:rPr>
          <w:rFonts w:hint="eastAsia" w:ascii="仿宋" w:hAnsi="仿宋" w:eastAsia="仿宋" w:cs="仿宋"/>
          <w:sz w:val="28"/>
          <w:szCs w:val="28"/>
          <w:lang w:val="en-US" w:eastAsia="zh-CN"/>
        </w:rPr>
        <w:t>谈判</w:t>
      </w:r>
      <w:r>
        <w:rPr>
          <w:rFonts w:hint="eastAsia" w:ascii="仿宋" w:hAnsi="仿宋" w:eastAsia="仿宋" w:cs="仿宋"/>
          <w:sz w:val="28"/>
          <w:szCs w:val="28"/>
        </w:rPr>
        <w:t>,确定供应商及供货单价。相关事宜公告如下，欢迎符合条件的潜在谈判供应商参加本次采购。</w:t>
      </w:r>
    </w:p>
    <w:p w14:paraId="408C2430">
      <w:pPr>
        <w:keepNext w:val="0"/>
        <w:keepLines w:val="0"/>
        <w:pageBreakBefore w:val="0"/>
        <w:kinsoku/>
        <w:wordWrap/>
        <w:overflowPunct/>
        <w:topLinePunct w:val="0"/>
        <w:autoSpaceDE w:val="0"/>
        <w:autoSpaceDN w:val="0"/>
        <w:bidi w:val="0"/>
        <w:adjustRightInd w:val="0"/>
        <w:spacing w:line="360" w:lineRule="auto"/>
        <w:ind w:firstLine="568" w:firstLineChars="202"/>
        <w:jc w:val="left"/>
        <w:textAlignment w:val="auto"/>
        <w:outlineLvl w:val="0"/>
        <w:rPr>
          <w:rFonts w:hint="eastAsia" w:ascii="仿宋" w:hAnsi="仿宋" w:eastAsia="仿宋" w:cs="仿宋"/>
          <w:b/>
          <w:color w:val="000000"/>
          <w:sz w:val="28"/>
          <w:szCs w:val="28"/>
          <w:lang w:val="zh-CN"/>
        </w:rPr>
      </w:pPr>
      <w:r>
        <w:rPr>
          <w:rFonts w:hint="eastAsia" w:ascii="仿宋" w:hAnsi="仿宋" w:eastAsia="仿宋" w:cs="仿宋"/>
          <w:b/>
          <w:color w:val="000000"/>
          <w:sz w:val="28"/>
          <w:szCs w:val="28"/>
          <w:lang w:val="en-US" w:eastAsia="zh-CN"/>
        </w:rPr>
        <w:t>1</w:t>
      </w:r>
      <w:r>
        <w:rPr>
          <w:rFonts w:hint="eastAsia" w:ascii="仿宋" w:hAnsi="仿宋" w:eastAsia="仿宋" w:cs="仿宋"/>
          <w:b/>
          <w:color w:val="000000"/>
          <w:sz w:val="28"/>
          <w:szCs w:val="28"/>
          <w:lang w:val="zh-CN"/>
        </w:rPr>
        <w:t>.采购项目名称及内容：</w:t>
      </w:r>
    </w:p>
    <w:p w14:paraId="2B93F6C5">
      <w:pPr>
        <w:keepNext w:val="0"/>
        <w:keepLines w:val="0"/>
        <w:pageBreakBefore w:val="0"/>
        <w:kinsoku/>
        <w:wordWrap/>
        <w:overflowPunct/>
        <w:topLinePunct w:val="0"/>
        <w:autoSpaceDE w:val="0"/>
        <w:autoSpaceDN w:val="0"/>
        <w:bidi w:val="0"/>
        <w:adjustRightInd w:val="0"/>
        <w:spacing w:line="360" w:lineRule="auto"/>
        <w:ind w:firstLine="560" w:firstLineChars="200"/>
        <w:jc w:val="left"/>
        <w:textAlignment w:val="auto"/>
        <w:rPr>
          <w:rFonts w:hint="eastAsia" w:ascii="仿宋" w:hAnsi="仿宋" w:eastAsia="仿宋" w:cs="仿宋"/>
          <w:color w:val="000000"/>
          <w:sz w:val="28"/>
          <w:szCs w:val="28"/>
          <w:highlight w:val="yellow"/>
          <w:lang w:val="zh-CN"/>
        </w:rPr>
      </w:pP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lang w:val="zh-CN"/>
        </w:rPr>
        <w:t>.1项目编号：</w:t>
      </w:r>
      <w:r>
        <w:rPr>
          <w:rFonts w:hint="eastAsia" w:ascii="仿宋" w:hAnsi="仿宋" w:eastAsia="仿宋" w:cs="仿宋"/>
          <w:sz w:val="28"/>
          <w:szCs w:val="28"/>
          <w:highlight w:val="none"/>
        </w:rPr>
        <w:t>611399250401</w:t>
      </w:r>
      <w:r>
        <w:rPr>
          <w:rFonts w:hint="eastAsia" w:ascii="仿宋" w:hAnsi="仿宋" w:eastAsia="仿宋" w:cs="仿宋"/>
          <w:sz w:val="28"/>
          <w:szCs w:val="28"/>
          <w:highlight w:val="none"/>
          <w:lang w:val="en-US" w:eastAsia="zh-CN"/>
        </w:rPr>
        <w:t>15</w:t>
      </w:r>
    </w:p>
    <w:p w14:paraId="511296D9">
      <w:pPr>
        <w:keepNext w:val="0"/>
        <w:keepLines w:val="0"/>
        <w:pageBreakBefore w:val="0"/>
        <w:kinsoku/>
        <w:wordWrap/>
        <w:overflowPunct/>
        <w:topLinePunct w:val="0"/>
        <w:autoSpaceDE w:val="0"/>
        <w:autoSpaceDN w:val="0"/>
        <w:bidi w:val="0"/>
        <w:adjustRightInd w:val="0"/>
        <w:spacing w:line="360" w:lineRule="auto"/>
        <w:ind w:firstLine="560" w:firstLineChars="200"/>
        <w:jc w:val="left"/>
        <w:textAlignment w:val="auto"/>
        <w:rPr>
          <w:rFonts w:hint="eastAsia" w:ascii="仿宋" w:hAnsi="仿宋" w:eastAsia="仿宋" w:cs="仿宋"/>
          <w:sz w:val="28"/>
          <w:szCs w:val="28"/>
          <w:lang w:val="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.2项目名称：2025年度物资定价项目</w:t>
      </w:r>
    </w:p>
    <w:p w14:paraId="0669B494">
      <w:pPr>
        <w:keepNext w:val="0"/>
        <w:keepLines w:val="0"/>
        <w:pageBreakBefore w:val="0"/>
        <w:kinsoku/>
        <w:wordWrap/>
        <w:overflowPunct/>
        <w:topLinePunct w:val="0"/>
        <w:autoSpaceDE w:val="0"/>
        <w:autoSpaceDN w:val="0"/>
        <w:bidi w:val="0"/>
        <w:adjustRightInd w:val="0"/>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.3采购方式：竞争性谈判</w:t>
      </w:r>
    </w:p>
    <w:p w14:paraId="3DB6D0A4">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.4采购内容：</w:t>
      </w:r>
      <w:r>
        <w:rPr>
          <w:rFonts w:hint="eastAsia" w:ascii="仿宋" w:hAnsi="仿宋" w:eastAsia="仿宋" w:cs="仿宋"/>
          <w:sz w:val="28"/>
          <w:szCs w:val="28"/>
          <w:lang w:val="en-US" w:eastAsia="zh-CN"/>
        </w:rPr>
        <w:t>A 浮选油、B 磺药黑药、C 耐磨合金衬板、D 气体检测仪、E 速凝剂、F PE管、G 河北渣浆泵备件、H 浮选机备件、I 矿用传感器备件、J 博山渣浆泵备件、K 宣化凿岩台车备件、L 面粉、M 矿用牵引电机、N 运输带、O 耐磨陶瓷小叶片</w:t>
      </w:r>
      <w:r>
        <w:rPr>
          <w:rFonts w:hint="eastAsia" w:ascii="仿宋" w:hAnsi="仿宋" w:eastAsia="仿宋" w:cs="仿宋"/>
          <w:sz w:val="28"/>
          <w:szCs w:val="28"/>
        </w:rPr>
        <w:t>等</w:t>
      </w:r>
      <w:r>
        <w:rPr>
          <w:rFonts w:hint="eastAsia" w:ascii="仿宋" w:hAnsi="仿宋" w:eastAsia="仿宋" w:cs="仿宋"/>
          <w:sz w:val="28"/>
          <w:szCs w:val="28"/>
          <w:lang w:val="en-US" w:eastAsia="zh-CN"/>
        </w:rPr>
        <w:t>15</w:t>
      </w:r>
      <w:r>
        <w:rPr>
          <w:rFonts w:hint="eastAsia" w:ascii="仿宋" w:hAnsi="仿宋" w:eastAsia="仿宋" w:cs="仿宋"/>
          <w:sz w:val="28"/>
          <w:szCs w:val="28"/>
        </w:rPr>
        <w:t>个标段的</w:t>
      </w:r>
      <w:r>
        <w:rPr>
          <w:rFonts w:hint="eastAsia" w:ascii="仿宋" w:hAnsi="仿宋" w:eastAsia="仿宋" w:cs="仿宋"/>
          <w:sz w:val="28"/>
          <w:szCs w:val="28"/>
          <w:highlight w:val="none"/>
        </w:rPr>
        <w:t>年</w:t>
      </w:r>
      <w:r>
        <w:rPr>
          <w:rFonts w:hint="eastAsia" w:ascii="仿宋" w:hAnsi="仿宋" w:eastAsia="仿宋" w:cs="仿宋"/>
          <w:sz w:val="28"/>
          <w:szCs w:val="28"/>
        </w:rPr>
        <w:t>度物资进行采购,确定供应商及供货单价。</w:t>
      </w:r>
    </w:p>
    <w:p w14:paraId="2DE72806">
      <w:pPr>
        <w:keepNext w:val="0"/>
        <w:keepLines w:val="0"/>
        <w:pageBreakBefore w:val="0"/>
        <w:tabs>
          <w:tab w:val="left" w:pos="3219"/>
        </w:tabs>
        <w:kinsoku/>
        <w:wordWrap/>
        <w:overflowPunct/>
        <w:topLinePunct w:val="0"/>
        <w:bidi w:val="0"/>
        <w:spacing w:line="360" w:lineRule="auto"/>
        <w:ind w:firstLine="562" w:firstLineChars="200"/>
        <w:jc w:val="left"/>
        <w:textAlignment w:val="auto"/>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rPr>
        <w:t>注：本次谈判为年度物资定价，确定供应商及供货单价，具体供货数量、供货时间按采购人</w:t>
      </w:r>
      <w:r>
        <w:rPr>
          <w:rFonts w:hint="eastAsia" w:ascii="仿宋" w:hAnsi="仿宋" w:eastAsia="仿宋" w:cs="仿宋"/>
          <w:b/>
          <w:sz w:val="28"/>
          <w:szCs w:val="28"/>
          <w:highlight w:val="none"/>
          <w:lang w:val="en-US" w:eastAsia="zh-CN"/>
        </w:rPr>
        <w:t>实际需求计划</w:t>
      </w:r>
      <w:r>
        <w:rPr>
          <w:rFonts w:hint="eastAsia" w:ascii="仿宋" w:hAnsi="仿宋" w:eastAsia="仿宋" w:cs="仿宋"/>
          <w:b/>
          <w:sz w:val="28"/>
          <w:szCs w:val="28"/>
          <w:highlight w:val="none"/>
        </w:rPr>
        <w:t>执行。</w:t>
      </w:r>
      <w:r>
        <w:rPr>
          <w:rFonts w:hint="eastAsia" w:ascii="仿宋" w:hAnsi="仿宋" w:eastAsia="仿宋" w:cs="仿宋"/>
          <w:b/>
          <w:sz w:val="28"/>
          <w:szCs w:val="28"/>
          <w:highlight w:val="none"/>
          <w:lang w:val="en-US" w:eastAsia="zh-CN"/>
        </w:rPr>
        <w:t>此价格同样适用于山东金召矿业有限公司和淄博铁鹰球团制造有限公司。</w:t>
      </w:r>
    </w:p>
    <w:p w14:paraId="6C57959F">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rPr>
          <w:rFonts w:hint="eastAsia" w:ascii="仿宋" w:hAnsi="仿宋" w:eastAsia="仿宋" w:cs="仿宋"/>
          <w:sz w:val="28"/>
          <w:szCs w:val="28"/>
          <w:lang w:val="zh-CN" w:eastAsia="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.5</w:t>
      </w:r>
      <w:r>
        <w:rPr>
          <w:rFonts w:hint="eastAsia" w:ascii="仿宋" w:hAnsi="仿宋" w:eastAsia="仿宋" w:cs="仿宋"/>
          <w:sz w:val="28"/>
          <w:szCs w:val="28"/>
          <w:lang w:val="zh-CN" w:eastAsia="zh-CN"/>
        </w:rPr>
        <w:t>交货地点：</w:t>
      </w:r>
      <w:r>
        <w:rPr>
          <w:rFonts w:hint="eastAsia" w:ascii="仿宋" w:hAnsi="仿宋" w:eastAsia="仿宋" w:cs="仿宋"/>
          <w:sz w:val="28"/>
          <w:szCs w:val="28"/>
          <w:lang w:eastAsia="zh-CN"/>
        </w:rPr>
        <w:t>采购人指定地点。</w:t>
      </w:r>
    </w:p>
    <w:p w14:paraId="06849106">
      <w:pPr>
        <w:keepNext w:val="0"/>
        <w:keepLines w:val="0"/>
        <w:pageBreakBefore w:val="0"/>
        <w:widowControl w:val="0"/>
        <w:kinsoku/>
        <w:wordWrap/>
        <w:overflowPunct/>
        <w:topLinePunct w:val="0"/>
        <w:autoSpaceDE w:val="0"/>
        <w:autoSpaceDN w:val="0"/>
        <w:bidi w:val="0"/>
        <w:adjustRightInd w:val="0"/>
        <w:spacing w:line="360" w:lineRule="auto"/>
        <w:ind w:firstLine="562" w:firstLineChars="200"/>
        <w:jc w:val="left"/>
        <w:textAlignment w:val="auto"/>
        <w:outlineLvl w:val="0"/>
        <w:rPr>
          <w:rFonts w:hint="eastAsia" w:ascii="仿宋" w:hAnsi="仿宋" w:eastAsia="仿宋" w:cs="仿宋"/>
          <w:b/>
          <w:color w:val="000000"/>
          <w:sz w:val="28"/>
          <w:szCs w:val="28"/>
          <w:lang w:val="zh-CN"/>
        </w:rPr>
      </w:pP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lang w:val="zh-CN"/>
        </w:rPr>
        <w:t>.谈判供应商资格要求：</w:t>
      </w:r>
    </w:p>
    <w:p w14:paraId="47141B3F">
      <w:pPr>
        <w:keepNext w:val="0"/>
        <w:keepLines w:val="0"/>
        <w:pageBreakBefore w:val="0"/>
        <w:widowControl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2.1</w:t>
      </w:r>
      <w:r>
        <w:rPr>
          <w:rFonts w:hint="eastAsia" w:ascii="仿宋" w:hAnsi="仿宋" w:eastAsia="仿宋" w:cs="仿宋"/>
          <w:kern w:val="0"/>
          <w:sz w:val="28"/>
          <w:szCs w:val="28"/>
        </w:rPr>
        <w:t>谈判供应商应</w:t>
      </w:r>
      <w:r>
        <w:rPr>
          <w:rFonts w:hint="eastAsia" w:ascii="仿宋" w:hAnsi="仿宋" w:eastAsia="仿宋" w:cs="仿宋"/>
          <w:color w:val="auto"/>
          <w:kern w:val="0"/>
          <w:sz w:val="28"/>
          <w:szCs w:val="28"/>
          <w:highlight w:val="none"/>
          <w:lang w:eastAsia="zh-CN"/>
        </w:rPr>
        <w:t>具有</w:t>
      </w:r>
      <w:r>
        <w:rPr>
          <w:rFonts w:hint="eastAsia" w:ascii="仿宋" w:hAnsi="仿宋" w:eastAsia="仿宋" w:cs="仿宋"/>
          <w:color w:val="auto"/>
          <w:kern w:val="0"/>
          <w:sz w:val="28"/>
          <w:szCs w:val="28"/>
          <w:highlight w:val="none"/>
        </w:rPr>
        <w:t>独立法人资格</w:t>
      </w:r>
      <w:r>
        <w:rPr>
          <w:rFonts w:hint="eastAsia" w:ascii="仿宋" w:hAnsi="仿宋" w:eastAsia="仿宋" w:cs="仿宋"/>
          <w:color w:val="auto"/>
          <w:kern w:val="0"/>
          <w:sz w:val="28"/>
          <w:szCs w:val="28"/>
          <w:highlight w:val="none"/>
          <w:lang w:eastAsia="zh-CN"/>
        </w:rPr>
        <w:t>或具有</w:t>
      </w:r>
      <w:r>
        <w:rPr>
          <w:rFonts w:hint="eastAsia" w:ascii="仿宋" w:hAnsi="仿宋" w:eastAsia="仿宋" w:cs="仿宋"/>
          <w:color w:val="auto"/>
          <w:kern w:val="0"/>
          <w:sz w:val="28"/>
          <w:szCs w:val="28"/>
          <w:highlight w:val="none"/>
          <w:lang w:val="en-US" w:eastAsia="zh-CN"/>
        </w:rPr>
        <w:t>总</w:t>
      </w:r>
      <w:r>
        <w:rPr>
          <w:rFonts w:hint="eastAsia" w:ascii="仿宋" w:hAnsi="仿宋" w:eastAsia="仿宋" w:cs="仿宋"/>
          <w:color w:val="auto"/>
          <w:kern w:val="0"/>
          <w:sz w:val="28"/>
          <w:szCs w:val="28"/>
          <w:highlight w:val="none"/>
          <w:lang w:eastAsia="zh-CN"/>
        </w:rPr>
        <w:t>公司授权的分公司</w:t>
      </w:r>
      <w:r>
        <w:rPr>
          <w:rFonts w:hint="eastAsia" w:ascii="仿宋" w:hAnsi="仿宋" w:eastAsia="仿宋" w:cs="仿宋"/>
          <w:color w:val="auto"/>
          <w:kern w:val="0"/>
          <w:sz w:val="28"/>
          <w:szCs w:val="28"/>
        </w:rPr>
        <w:t>,</w:t>
      </w:r>
      <w:r>
        <w:rPr>
          <w:rFonts w:hint="eastAsia" w:ascii="仿宋" w:hAnsi="仿宋" w:eastAsia="仿宋" w:cs="仿宋"/>
          <w:kern w:val="0"/>
          <w:sz w:val="28"/>
          <w:szCs w:val="28"/>
        </w:rPr>
        <w:t>须为所投标标的的生产制造商。</w:t>
      </w:r>
    </w:p>
    <w:p w14:paraId="13B6D459">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2.2</w:t>
      </w:r>
      <w:r>
        <w:rPr>
          <w:rFonts w:hint="eastAsia" w:ascii="仿宋" w:hAnsi="仿宋" w:eastAsia="仿宋" w:cs="仿宋"/>
          <w:kern w:val="0"/>
          <w:sz w:val="28"/>
          <w:szCs w:val="28"/>
        </w:rPr>
        <w:t>具有行业主管部门认定的制造商资格或相关经营资格，</w:t>
      </w:r>
      <w:r>
        <w:rPr>
          <w:rFonts w:hint="eastAsia" w:ascii="仿宋" w:hAnsi="仿宋" w:eastAsia="仿宋" w:cs="仿宋"/>
          <w:kern w:val="0"/>
          <w:sz w:val="28"/>
          <w:szCs w:val="28"/>
          <w:lang w:eastAsia="zh-CN"/>
        </w:rPr>
        <w:t>响应供应商</w:t>
      </w:r>
      <w:r>
        <w:rPr>
          <w:rFonts w:hint="eastAsia" w:ascii="仿宋" w:hAnsi="仿宋" w:eastAsia="仿宋" w:cs="仿宋"/>
          <w:kern w:val="0"/>
          <w:sz w:val="28"/>
          <w:szCs w:val="28"/>
        </w:rPr>
        <w:t>已取得相关资质文件（矿安证、煤安证等）。</w:t>
      </w:r>
    </w:p>
    <w:p w14:paraId="2EE98B6A">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lang w:val="zh-CN"/>
        </w:rPr>
        <w:t>.</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val="zh-CN"/>
        </w:rPr>
        <w:t>本项目不接受联合体投标。</w:t>
      </w:r>
    </w:p>
    <w:p w14:paraId="470D4ED4">
      <w:pPr>
        <w:keepNext w:val="0"/>
        <w:keepLines w:val="0"/>
        <w:pageBreakBefore w:val="0"/>
        <w:widowControl w:val="0"/>
        <w:kinsoku/>
        <w:wordWrap/>
        <w:overflowPunct/>
        <w:topLinePunct w:val="0"/>
        <w:autoSpaceDE w:val="0"/>
        <w:autoSpaceDN w:val="0"/>
        <w:bidi w:val="0"/>
        <w:adjustRightInd w:val="0"/>
        <w:spacing w:line="360" w:lineRule="auto"/>
        <w:ind w:firstLine="562" w:firstLineChars="200"/>
        <w:jc w:val="left"/>
        <w:textAlignment w:val="auto"/>
        <w:outlineLvl w:val="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3.供应商须知</w:t>
      </w:r>
    </w:p>
    <w:p w14:paraId="49FAEF62">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3.1</w:t>
      </w:r>
      <w:r>
        <w:rPr>
          <w:rFonts w:hint="eastAsia" w:ascii="仿宋" w:hAnsi="仿宋" w:eastAsia="仿宋" w:cs="仿宋"/>
          <w:kern w:val="0"/>
          <w:sz w:val="28"/>
          <w:szCs w:val="28"/>
          <w:lang w:val="zh-CN"/>
        </w:rPr>
        <w:t>谈判供应商所投产品价格必须确保质量和匹配性等，投标产品必须满足采购人使用要求；</w:t>
      </w:r>
    </w:p>
    <w:p w14:paraId="710AACD7">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3.2</w:t>
      </w:r>
      <w:r>
        <w:rPr>
          <w:rFonts w:hint="eastAsia" w:ascii="仿宋" w:hAnsi="仿宋" w:eastAsia="仿宋" w:cs="仿宋"/>
          <w:kern w:val="0"/>
          <w:sz w:val="28"/>
          <w:szCs w:val="28"/>
          <w:lang w:val="zh-CN" w:eastAsia="zh-CN"/>
        </w:rPr>
        <w:t>成交供应商</w:t>
      </w:r>
      <w:r>
        <w:rPr>
          <w:rFonts w:hint="eastAsia" w:ascii="仿宋" w:hAnsi="仿宋" w:eastAsia="仿宋" w:cs="仿宋"/>
          <w:kern w:val="0"/>
          <w:sz w:val="28"/>
          <w:szCs w:val="28"/>
          <w:lang w:val="zh-CN"/>
        </w:rPr>
        <w:t>所供产品若出现质量问题，采购人有权拒收，并限期更换，若仍无法满足采购人使用要求，则取消此产品当年供货资格，由价格次低者候补为</w:t>
      </w:r>
      <w:r>
        <w:rPr>
          <w:rFonts w:hint="eastAsia" w:ascii="仿宋" w:hAnsi="仿宋" w:eastAsia="仿宋" w:cs="仿宋"/>
          <w:kern w:val="0"/>
          <w:sz w:val="28"/>
          <w:szCs w:val="28"/>
          <w:lang w:val="zh-CN" w:eastAsia="zh-CN"/>
        </w:rPr>
        <w:t>成交供应商</w:t>
      </w:r>
      <w:r>
        <w:rPr>
          <w:rFonts w:hint="eastAsia" w:ascii="仿宋" w:hAnsi="仿宋" w:eastAsia="仿宋" w:cs="仿宋"/>
          <w:kern w:val="0"/>
          <w:sz w:val="28"/>
          <w:szCs w:val="28"/>
          <w:lang w:val="zh-CN"/>
        </w:rPr>
        <w:t>；</w:t>
      </w:r>
    </w:p>
    <w:p w14:paraId="23B99419">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3.3</w:t>
      </w:r>
      <w:r>
        <w:rPr>
          <w:rFonts w:hint="eastAsia" w:ascii="仿宋" w:hAnsi="仿宋" w:eastAsia="仿宋" w:cs="仿宋"/>
          <w:kern w:val="0"/>
          <w:sz w:val="28"/>
          <w:szCs w:val="28"/>
          <w:lang w:val="zh-CN"/>
        </w:rPr>
        <w:t>本次定价谈判确定本年度内的中标供应商及相应供货单价。</w:t>
      </w:r>
    </w:p>
    <w:p w14:paraId="2F2CE4DD">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3.4</w:t>
      </w:r>
      <w:r>
        <w:rPr>
          <w:rFonts w:hint="eastAsia" w:ascii="仿宋" w:hAnsi="仿宋" w:eastAsia="仿宋" w:cs="仿宋"/>
          <w:kern w:val="0"/>
          <w:sz w:val="28"/>
          <w:szCs w:val="28"/>
          <w:lang w:val="zh-CN" w:eastAsia="zh-CN"/>
        </w:rPr>
        <w:t>成交供应商</w:t>
      </w:r>
      <w:r>
        <w:rPr>
          <w:rFonts w:hint="eastAsia" w:ascii="仿宋" w:hAnsi="仿宋" w:eastAsia="仿宋" w:cs="仿宋"/>
          <w:kern w:val="0"/>
          <w:sz w:val="28"/>
          <w:szCs w:val="28"/>
          <w:lang w:val="en-US" w:eastAsia="zh-CN"/>
        </w:rPr>
        <w:t>应</w:t>
      </w:r>
      <w:r>
        <w:rPr>
          <w:rFonts w:hint="eastAsia" w:ascii="仿宋" w:hAnsi="仿宋" w:eastAsia="仿宋" w:cs="仿宋"/>
          <w:kern w:val="0"/>
          <w:sz w:val="28"/>
          <w:szCs w:val="28"/>
          <w:lang w:val="zh-CN"/>
        </w:rPr>
        <w:t>按采购人要求及时供货，保证生产运行。如出现供货不及时等情况，采购人为确保生产顺行有权在参标供应商中更换供应商，价格执行</w:t>
      </w:r>
      <w:r>
        <w:rPr>
          <w:rFonts w:hint="eastAsia" w:ascii="仿宋" w:hAnsi="仿宋" w:eastAsia="仿宋" w:cs="仿宋"/>
          <w:kern w:val="0"/>
          <w:sz w:val="28"/>
          <w:szCs w:val="28"/>
          <w:lang w:val="en-US" w:eastAsia="zh-CN"/>
        </w:rPr>
        <w:t>更换供应商</w:t>
      </w:r>
      <w:r>
        <w:rPr>
          <w:rFonts w:hint="eastAsia" w:ascii="仿宋" w:hAnsi="仿宋" w:eastAsia="仿宋" w:cs="仿宋"/>
          <w:kern w:val="0"/>
          <w:sz w:val="28"/>
          <w:szCs w:val="28"/>
          <w:lang w:val="zh-CN"/>
        </w:rPr>
        <w:t>的</w:t>
      </w:r>
      <w:r>
        <w:rPr>
          <w:rFonts w:hint="eastAsia" w:ascii="仿宋" w:hAnsi="仿宋" w:eastAsia="仿宋" w:cs="仿宋"/>
          <w:kern w:val="0"/>
          <w:sz w:val="28"/>
          <w:szCs w:val="28"/>
          <w:lang w:val="en-US" w:eastAsia="zh-CN"/>
        </w:rPr>
        <w:t>最终</w:t>
      </w:r>
      <w:r>
        <w:rPr>
          <w:rFonts w:hint="eastAsia" w:ascii="仿宋" w:hAnsi="仿宋" w:eastAsia="仿宋" w:cs="仿宋"/>
          <w:kern w:val="0"/>
          <w:sz w:val="28"/>
          <w:szCs w:val="28"/>
          <w:lang w:val="zh-CN"/>
        </w:rPr>
        <w:t>单价。</w:t>
      </w:r>
    </w:p>
    <w:p w14:paraId="360FF354">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3.5</w:t>
      </w:r>
      <w:r>
        <w:rPr>
          <w:rFonts w:hint="eastAsia" w:ascii="仿宋" w:hAnsi="仿宋" w:eastAsia="仿宋" w:cs="仿宋"/>
          <w:b/>
          <w:bCs/>
          <w:kern w:val="0"/>
          <w:sz w:val="28"/>
          <w:szCs w:val="28"/>
          <w:lang w:val="en-US" w:eastAsia="zh-CN"/>
        </w:rPr>
        <w:t>投标报价明细表须提供电子版(</w:t>
      </w:r>
      <w:r>
        <w:rPr>
          <w:rFonts w:hint="eastAsia" w:ascii="黑体" w:hAnsi="黑体" w:eastAsia="黑体" w:cs="黑体"/>
          <w:b/>
          <w:bCs/>
          <w:color w:val="FF0000"/>
          <w:kern w:val="0"/>
          <w:sz w:val="32"/>
          <w:szCs w:val="32"/>
          <w:lang w:val="en-US" w:eastAsia="zh-CN"/>
        </w:rPr>
        <w:t>U盘，可编辑版本，有分项报价的需提供Excel版本</w:t>
      </w:r>
      <w:r>
        <w:rPr>
          <w:rFonts w:hint="eastAsia" w:ascii="仿宋" w:hAnsi="仿宋" w:eastAsia="仿宋" w:cs="仿宋"/>
          <w:b/>
          <w:bCs/>
          <w:kern w:val="0"/>
          <w:sz w:val="28"/>
          <w:szCs w:val="28"/>
          <w:lang w:val="en-US" w:eastAsia="zh-CN"/>
        </w:rPr>
        <w:t>)和纸质文件两种方式，</w:t>
      </w:r>
      <w:r>
        <w:rPr>
          <w:rFonts w:hint="eastAsia" w:ascii="黑体" w:hAnsi="黑体" w:eastAsia="黑体" w:cs="黑体"/>
          <w:b/>
          <w:bCs/>
          <w:color w:val="FF0000"/>
          <w:kern w:val="0"/>
          <w:sz w:val="28"/>
          <w:szCs w:val="28"/>
          <w:lang w:val="en-US" w:eastAsia="zh-CN"/>
        </w:rPr>
        <w:t>报价时禁止变更报价明细顺序</w:t>
      </w:r>
      <w:r>
        <w:rPr>
          <w:rFonts w:hint="eastAsia" w:ascii="仿宋" w:hAnsi="仿宋" w:eastAsia="仿宋" w:cs="仿宋"/>
          <w:b/>
          <w:bCs/>
          <w:kern w:val="0"/>
          <w:sz w:val="28"/>
          <w:szCs w:val="28"/>
          <w:lang w:val="en-US" w:eastAsia="zh-CN"/>
        </w:rPr>
        <w:t>。</w:t>
      </w:r>
    </w:p>
    <w:p w14:paraId="18F11AE4">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3.6本次年度物资定价评标办法：</w:t>
      </w:r>
    </w:p>
    <w:p w14:paraId="086ABC51">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3.6.1常用物资按低价推荐成交供应商；</w:t>
      </w:r>
    </w:p>
    <w:p w14:paraId="7A84708B">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3.6.2特殊物资按性价比推荐成交供应商。</w:t>
      </w:r>
    </w:p>
    <w:p w14:paraId="0A530FBB">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3.7付款方式：</w:t>
      </w:r>
      <w:r>
        <w:rPr>
          <w:rFonts w:hint="eastAsia" w:ascii="仿宋" w:hAnsi="仿宋" w:eastAsia="仿宋" w:cs="仿宋"/>
          <w:b/>
          <w:bCs/>
          <w:kern w:val="0"/>
          <w:sz w:val="28"/>
          <w:szCs w:val="28"/>
          <w:lang w:val="en-US" w:eastAsia="zh-CN"/>
        </w:rPr>
        <w:t>现汇结算，</w:t>
      </w:r>
      <w:r>
        <w:rPr>
          <w:rFonts w:hint="eastAsia" w:ascii="仿宋" w:hAnsi="仿宋" w:eastAsia="仿宋" w:cs="仿宋"/>
          <w:b/>
          <w:bCs/>
          <w:kern w:val="0"/>
          <w:sz w:val="28"/>
          <w:szCs w:val="28"/>
          <w:highlight w:val="none"/>
          <w:lang w:val="en-US" w:eastAsia="zh-CN"/>
        </w:rPr>
        <w:t>货到开具发票挂账后不定期付款</w:t>
      </w:r>
      <w:r>
        <w:rPr>
          <w:rFonts w:hint="eastAsia" w:ascii="仿宋" w:hAnsi="仿宋" w:eastAsia="仿宋" w:cs="仿宋"/>
          <w:b/>
          <w:bCs/>
          <w:kern w:val="0"/>
          <w:sz w:val="28"/>
          <w:szCs w:val="28"/>
          <w:lang w:val="en-US" w:eastAsia="zh-CN"/>
        </w:rPr>
        <w:t>，如有偏离，请在响应文件中作偏离说明。</w:t>
      </w:r>
    </w:p>
    <w:p w14:paraId="5BD4CD95">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rPr>
        <w:t>3.8谈判供应商严格按照采购方要求及国家有关标准进行制造。谈判供应商提供的设备、材料必须是全新的、完整的、并对其质量负</w:t>
      </w:r>
      <w:r>
        <w:rPr>
          <w:rFonts w:hint="eastAsia" w:ascii="仿宋" w:hAnsi="仿宋" w:eastAsia="仿宋" w:cs="仿宋"/>
          <w:sz w:val="28"/>
          <w:szCs w:val="28"/>
        </w:rPr>
        <w:t>责。谈判供应商不得擅自将</w:t>
      </w:r>
      <w:r>
        <w:rPr>
          <w:rFonts w:hint="eastAsia" w:ascii="仿宋" w:hAnsi="仿宋" w:eastAsia="仿宋" w:cs="仿宋"/>
          <w:sz w:val="28"/>
          <w:szCs w:val="28"/>
          <w:lang w:eastAsia="zh-CN"/>
        </w:rPr>
        <w:t>标的</w:t>
      </w:r>
      <w:r>
        <w:rPr>
          <w:rFonts w:hint="eastAsia" w:ascii="仿宋" w:hAnsi="仿宋" w:eastAsia="仿宋" w:cs="仿宋"/>
          <w:sz w:val="28"/>
          <w:szCs w:val="28"/>
        </w:rPr>
        <w:t>分包和转包。</w:t>
      </w:r>
    </w:p>
    <w:p w14:paraId="3EAFF0F3">
      <w:pPr>
        <w:pStyle w:val="8"/>
        <w:spacing w:line="560" w:lineRule="exact"/>
        <w:ind w:firstLine="562" w:firstLineChars="200"/>
        <w:rPr>
          <w:rFonts w:hint="eastAsia" w:ascii="仿宋" w:hAnsi="仿宋" w:eastAsia="仿宋" w:cs="仿宋"/>
          <w:b/>
          <w:bCs/>
          <w:kern w:val="2"/>
          <w:sz w:val="28"/>
          <w:szCs w:val="28"/>
        </w:rPr>
      </w:pPr>
      <w:r>
        <w:rPr>
          <w:rFonts w:hint="eastAsia" w:ascii="仿宋" w:hAnsi="仿宋" w:eastAsia="仿宋" w:cs="仿宋"/>
          <w:b/>
          <w:bCs/>
          <w:kern w:val="2"/>
          <w:sz w:val="28"/>
          <w:szCs w:val="28"/>
          <w:lang w:val="en-US" w:eastAsia="zh-CN"/>
        </w:rPr>
        <w:t>3.9</w:t>
      </w:r>
      <w:r>
        <w:rPr>
          <w:rFonts w:hint="eastAsia" w:ascii="仿宋" w:hAnsi="仿宋" w:eastAsia="仿宋" w:cs="仿宋"/>
          <w:b/>
          <w:bCs/>
          <w:kern w:val="2"/>
          <w:sz w:val="28"/>
          <w:szCs w:val="28"/>
        </w:rPr>
        <w:t>谈判供应商应</w:t>
      </w:r>
      <w:r>
        <w:rPr>
          <w:rFonts w:hint="eastAsia" w:ascii="仿宋" w:hAnsi="仿宋" w:eastAsia="仿宋" w:cs="仿宋"/>
          <w:b/>
          <w:bCs/>
          <w:color w:val="000000"/>
          <w:sz w:val="28"/>
          <w:szCs w:val="28"/>
        </w:rPr>
        <w:t>具有较强的</w:t>
      </w:r>
      <w:r>
        <w:rPr>
          <w:rFonts w:hint="eastAsia" w:ascii="仿宋" w:hAnsi="仿宋" w:eastAsia="仿宋" w:cs="仿宋"/>
          <w:b/>
          <w:bCs/>
          <w:color w:val="000000"/>
          <w:sz w:val="28"/>
          <w:szCs w:val="28"/>
          <w:lang w:eastAsia="zh-CN"/>
        </w:rPr>
        <w:t>本地化</w:t>
      </w:r>
      <w:r>
        <w:rPr>
          <w:rFonts w:hint="eastAsia" w:ascii="仿宋" w:hAnsi="仿宋" w:eastAsia="仿宋" w:cs="仿宋"/>
          <w:b/>
          <w:bCs/>
          <w:color w:val="000000"/>
          <w:sz w:val="28"/>
          <w:szCs w:val="28"/>
        </w:rPr>
        <w:t>服务能力，谈判供应商应能够提供快速的售后服务</w:t>
      </w:r>
      <w:r>
        <w:rPr>
          <w:rFonts w:hint="eastAsia" w:ascii="仿宋" w:hAnsi="仿宋" w:eastAsia="仿宋" w:cs="仿宋"/>
          <w:b/>
          <w:bCs/>
          <w:kern w:val="2"/>
          <w:sz w:val="28"/>
          <w:szCs w:val="28"/>
        </w:rPr>
        <w:t>。</w:t>
      </w:r>
    </w:p>
    <w:p w14:paraId="60C4CB93">
      <w:pPr>
        <w:pStyle w:val="8"/>
        <w:spacing w:line="56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3.10</w:t>
      </w:r>
      <w:r>
        <w:rPr>
          <w:rFonts w:hint="eastAsia" w:ascii="仿宋" w:hAnsi="仿宋" w:eastAsia="仿宋" w:cs="仿宋"/>
          <w:kern w:val="2"/>
          <w:sz w:val="28"/>
          <w:szCs w:val="28"/>
        </w:rPr>
        <w:t>采购人在使用谈判供应商提供的货物时，不存在任何已知的不合法的情形，也不存在任何已知的与第三方专利权、著作权、商标权或工业设计权相关的任何争议。如果有任何因采购人使用谈判供应商提供的货物而提起的侵权指控，谈判供应商依法承担全部责任。</w:t>
      </w:r>
    </w:p>
    <w:p w14:paraId="41F1B82B">
      <w:pPr>
        <w:keepNext w:val="0"/>
        <w:keepLines w:val="0"/>
        <w:pageBreakBefore w:val="0"/>
        <w:kinsoku/>
        <w:wordWrap/>
        <w:overflowPunct/>
        <w:topLinePunct w:val="0"/>
        <w:autoSpaceDE w:val="0"/>
        <w:autoSpaceDN w:val="0"/>
        <w:bidi w:val="0"/>
        <w:adjustRightInd w:val="0"/>
        <w:spacing w:line="360" w:lineRule="auto"/>
        <w:ind w:firstLine="568" w:firstLineChars="202"/>
        <w:jc w:val="left"/>
        <w:textAlignment w:val="auto"/>
        <w:outlineLvl w:val="0"/>
        <w:rPr>
          <w:rFonts w:hint="eastAsia" w:ascii="仿宋" w:hAnsi="仿宋" w:eastAsia="仿宋" w:cs="仿宋"/>
          <w:b/>
          <w:color w:val="000000"/>
          <w:sz w:val="28"/>
          <w:szCs w:val="28"/>
          <w:lang w:val="zh-CN"/>
        </w:rPr>
      </w:pPr>
      <w:r>
        <w:rPr>
          <w:rFonts w:hint="eastAsia" w:ascii="仿宋" w:hAnsi="仿宋" w:eastAsia="仿宋" w:cs="仿宋"/>
          <w:b/>
          <w:color w:val="000000"/>
          <w:sz w:val="28"/>
          <w:szCs w:val="28"/>
          <w:lang w:val="en-US" w:eastAsia="zh-CN"/>
        </w:rPr>
        <w:t>4</w:t>
      </w:r>
      <w:r>
        <w:rPr>
          <w:rFonts w:hint="eastAsia" w:ascii="仿宋" w:hAnsi="仿宋" w:eastAsia="仿宋" w:cs="仿宋"/>
          <w:b/>
          <w:color w:val="000000"/>
          <w:sz w:val="28"/>
          <w:szCs w:val="28"/>
          <w:lang w:val="zh-CN"/>
        </w:rPr>
        <w:t>.谈判文件发售办法：</w:t>
      </w:r>
    </w:p>
    <w:p w14:paraId="43E84149">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.1本项目实行网上报名，网上发售电子版谈判文件。凡有意参加投标者，请于</w:t>
      </w:r>
      <w:r>
        <w:rPr>
          <w:rFonts w:hint="eastAsia" w:ascii="仿宋" w:hAnsi="仿宋" w:eastAsia="仿宋" w:cs="仿宋"/>
          <w:b/>
          <w:bCs/>
          <w:kern w:val="0"/>
          <w:sz w:val="28"/>
          <w:szCs w:val="28"/>
          <w:highlight w:val="none"/>
          <w:u w:val="single"/>
          <w:lang w:eastAsia="zh-CN"/>
        </w:rPr>
        <w:t>2025年04月</w:t>
      </w:r>
      <w:r>
        <w:rPr>
          <w:rFonts w:hint="eastAsia" w:ascii="仿宋" w:hAnsi="仿宋" w:eastAsia="仿宋" w:cs="仿宋"/>
          <w:b/>
          <w:bCs/>
          <w:kern w:val="0"/>
          <w:sz w:val="28"/>
          <w:szCs w:val="28"/>
          <w:highlight w:val="none"/>
          <w:u w:val="single"/>
          <w:lang w:val="en-US" w:eastAsia="zh-CN"/>
        </w:rPr>
        <w:t>12</w:t>
      </w:r>
      <w:r>
        <w:rPr>
          <w:rFonts w:hint="eastAsia" w:ascii="仿宋" w:hAnsi="仿宋" w:eastAsia="仿宋" w:cs="仿宋"/>
          <w:b/>
          <w:bCs/>
          <w:kern w:val="0"/>
          <w:sz w:val="28"/>
          <w:szCs w:val="28"/>
          <w:highlight w:val="none"/>
          <w:u w:val="single"/>
          <w:lang w:eastAsia="zh-CN"/>
        </w:rPr>
        <w:t>日至2025年04月1</w:t>
      </w:r>
      <w:r>
        <w:rPr>
          <w:rFonts w:hint="eastAsia" w:ascii="仿宋" w:hAnsi="仿宋" w:eastAsia="仿宋" w:cs="仿宋"/>
          <w:b/>
          <w:bCs/>
          <w:kern w:val="0"/>
          <w:sz w:val="28"/>
          <w:szCs w:val="28"/>
          <w:highlight w:val="none"/>
          <w:u w:val="single"/>
          <w:lang w:val="en-US" w:eastAsia="zh-CN"/>
        </w:rPr>
        <w:t>7</w:t>
      </w:r>
      <w:r>
        <w:rPr>
          <w:rFonts w:hint="eastAsia" w:ascii="仿宋" w:hAnsi="仿宋" w:eastAsia="仿宋" w:cs="仿宋"/>
          <w:b/>
          <w:bCs/>
          <w:kern w:val="0"/>
          <w:sz w:val="28"/>
          <w:szCs w:val="28"/>
          <w:highlight w:val="none"/>
          <w:u w:val="single"/>
          <w:lang w:eastAsia="zh-CN"/>
        </w:rPr>
        <w:t>日</w:t>
      </w:r>
      <w:r>
        <w:rPr>
          <w:rFonts w:hint="eastAsia" w:ascii="仿宋" w:hAnsi="仿宋" w:eastAsia="仿宋" w:cs="仿宋"/>
          <w:kern w:val="0"/>
          <w:sz w:val="28"/>
          <w:szCs w:val="28"/>
        </w:rPr>
        <w:t>登录山钢集团阳光购销平台（http://bams.shansteelgroup.com/）,报名并购买下载电子版谈判文件。</w:t>
      </w:r>
    </w:p>
    <w:p w14:paraId="15F5B2F3">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.2 未注册供应商，请登录山钢集团阳光购销平台（http://bams.shansteelgroup.com/）,注册用户成功后，须修改初始密码，重新登录后报名。注册时仅填写或上传带红星的必填项，完成注册即可；点击报名，已报名成功的项目将消失，系统给予报名成功的提示，不必理会系统给予的“上传业绩”、“交费”等提示，报名成功后再按本公告要求交费即可(必须先报名再交费）。</w:t>
      </w:r>
    </w:p>
    <w:p w14:paraId="1F63740E">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.3 谈判文</w:t>
      </w:r>
      <w:r>
        <w:rPr>
          <w:rFonts w:hint="eastAsia" w:ascii="仿宋" w:hAnsi="仿宋" w:eastAsia="仿宋" w:cs="仿宋"/>
          <w:kern w:val="0"/>
          <w:sz w:val="28"/>
          <w:szCs w:val="28"/>
          <w:highlight w:val="none"/>
        </w:rPr>
        <w:t>件</w:t>
      </w:r>
      <w:r>
        <w:rPr>
          <w:rFonts w:hint="eastAsia" w:ascii="仿宋" w:hAnsi="仿宋" w:eastAsia="仿宋" w:cs="仿宋"/>
          <w:sz w:val="28"/>
          <w:szCs w:val="28"/>
          <w:highlight w:val="none"/>
        </w:rPr>
        <w:t>每个标段100元</w:t>
      </w:r>
      <w:r>
        <w:rPr>
          <w:rFonts w:hint="eastAsia" w:ascii="仿宋" w:hAnsi="仿宋" w:eastAsia="仿宋" w:cs="仿宋"/>
          <w:kern w:val="0"/>
          <w:sz w:val="28"/>
          <w:szCs w:val="28"/>
        </w:rPr>
        <w:t>，售后不退；从谈判供应商基本账户电汇或转账到采购人账户，</w:t>
      </w:r>
      <w:r>
        <w:rPr>
          <w:rFonts w:hint="eastAsia" w:ascii="仿宋" w:hAnsi="仿宋" w:eastAsia="仿宋" w:cs="仿宋"/>
          <w:sz w:val="28"/>
          <w:szCs w:val="28"/>
        </w:rPr>
        <w:t>并在银行汇款或转账备注栏中注明投标项目</w:t>
      </w:r>
      <w:r>
        <w:rPr>
          <w:rFonts w:hint="eastAsia" w:ascii="仿宋" w:hAnsi="仿宋" w:eastAsia="仿宋" w:cs="仿宋"/>
          <w:b/>
          <w:bCs/>
          <w:color w:val="FF0000"/>
          <w:sz w:val="28"/>
          <w:szCs w:val="28"/>
        </w:rPr>
        <w:t>编号后四位及标段号</w:t>
      </w:r>
      <w:r>
        <w:rPr>
          <w:rFonts w:hint="eastAsia" w:ascii="仿宋" w:hAnsi="仿宋" w:eastAsia="仿宋" w:cs="仿宋"/>
          <w:b/>
          <w:bCs/>
          <w:color w:val="FF0000"/>
          <w:sz w:val="28"/>
          <w:szCs w:val="28"/>
          <w:highlight w:val="none"/>
        </w:rPr>
        <w:t>(如</w:t>
      </w:r>
      <w:r>
        <w:rPr>
          <w:rFonts w:hint="eastAsia" w:ascii="仿宋" w:hAnsi="仿宋" w:eastAsia="仿宋" w:cs="仿宋"/>
          <w:b/>
          <w:bCs/>
          <w:color w:val="FF0000"/>
          <w:sz w:val="28"/>
          <w:szCs w:val="28"/>
          <w:highlight w:val="none"/>
          <w:lang w:val="en-US" w:eastAsia="zh-CN"/>
        </w:rPr>
        <w:t xml:space="preserve">0115  </w:t>
      </w:r>
      <w:r>
        <w:rPr>
          <w:rFonts w:hint="eastAsia" w:ascii="仿宋" w:hAnsi="仿宋" w:eastAsia="仿宋" w:cs="仿宋"/>
          <w:b/>
          <w:bCs/>
          <w:color w:val="FF0000"/>
          <w:sz w:val="28"/>
          <w:szCs w:val="28"/>
          <w:highlight w:val="none"/>
        </w:rPr>
        <w:t>ACD)</w:t>
      </w:r>
      <w:r>
        <w:rPr>
          <w:rFonts w:hint="eastAsia" w:ascii="仿宋" w:hAnsi="仿宋" w:eastAsia="仿宋" w:cs="仿宋"/>
          <w:sz w:val="28"/>
          <w:szCs w:val="28"/>
        </w:rPr>
        <w:t>；非基本账户交款的，同时应注明谈判供应商名称，否则，采购人有权不予确认，由此引起的后果由潜在谈判供应商承担 。</w:t>
      </w:r>
    </w:p>
    <w:p w14:paraId="5C6FB6C8">
      <w:pPr>
        <w:keepNext w:val="0"/>
        <w:keepLines w:val="0"/>
        <w:pageBreakBefore w:val="0"/>
        <w:kinsoku/>
        <w:wordWrap/>
        <w:overflowPunct/>
        <w:topLinePunct w:val="0"/>
        <w:bidi w:val="0"/>
        <w:spacing w:line="360" w:lineRule="auto"/>
        <w:ind w:right="-6" w:firstLine="555"/>
        <w:textAlignment w:val="auto"/>
        <w:rPr>
          <w:rFonts w:hint="eastAsia" w:ascii="仿宋" w:hAnsi="仿宋" w:eastAsia="仿宋" w:cs="仿宋"/>
          <w:kern w:val="0"/>
          <w:sz w:val="28"/>
          <w:szCs w:val="28"/>
        </w:rPr>
      </w:pPr>
      <w:r>
        <w:rPr>
          <w:rFonts w:hint="eastAsia" w:ascii="仿宋" w:hAnsi="仿宋" w:eastAsia="仿宋" w:cs="仿宋"/>
          <w:kern w:val="0"/>
          <w:sz w:val="28"/>
          <w:szCs w:val="28"/>
        </w:rPr>
        <w:t>标书费不退还，谈判供应商交纳标书费后，采购人第二个工作日确认后,谈判供应商可直接用注册的账户和密码从网上下载谈判文件。</w:t>
      </w:r>
    </w:p>
    <w:p w14:paraId="465A40A3">
      <w:pPr>
        <w:keepNext w:val="0"/>
        <w:keepLines w:val="0"/>
        <w:pageBreakBefore w:val="0"/>
        <w:kinsoku/>
        <w:wordWrap/>
        <w:overflowPunct/>
        <w:topLinePunct w:val="0"/>
        <w:bidi w:val="0"/>
        <w:spacing w:line="360" w:lineRule="auto"/>
        <w:ind w:right="-6" w:firstLine="555"/>
        <w:textAlignment w:val="auto"/>
        <w:rPr>
          <w:rFonts w:hint="eastAsia" w:ascii="仿宋" w:hAnsi="仿宋" w:eastAsia="仿宋" w:cs="仿宋"/>
          <w:b/>
          <w:bCs/>
          <w:sz w:val="28"/>
          <w:szCs w:val="28"/>
        </w:rPr>
      </w:pPr>
      <w:r>
        <w:rPr>
          <w:rFonts w:hint="eastAsia" w:ascii="仿宋" w:hAnsi="仿宋" w:eastAsia="仿宋" w:cs="仿宋"/>
          <w:kern w:val="0"/>
          <w:sz w:val="28"/>
          <w:szCs w:val="28"/>
        </w:rPr>
        <w:t>标书费需要开发票的请将开票信息、发票类型、转账凭证发送至公司邮箱（jlkyzbb@163.com），</w:t>
      </w:r>
      <w:r>
        <w:rPr>
          <w:rFonts w:hint="eastAsia" w:ascii="仿宋" w:hAnsi="仿宋" w:eastAsia="仿宋" w:cs="仿宋"/>
          <w:b/>
          <w:bCs/>
          <w:kern w:val="0"/>
          <w:sz w:val="28"/>
          <w:szCs w:val="28"/>
        </w:rPr>
        <w:t>发票须在一个月内申请领取。非基本账户交款的只开收据。</w:t>
      </w:r>
    </w:p>
    <w:p w14:paraId="2CF008CD">
      <w:pPr>
        <w:keepNext w:val="0"/>
        <w:keepLines w:val="0"/>
        <w:pageBreakBefore w:val="0"/>
        <w:widowControl/>
        <w:kinsoku/>
        <w:wordWrap/>
        <w:overflowPunct/>
        <w:topLinePunct w:val="0"/>
        <w:bidi w:val="0"/>
        <w:spacing w:line="360" w:lineRule="auto"/>
        <w:ind w:left="525" w:leftChars="25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.4 采购人账户信息（标书费交款账户）</w:t>
      </w:r>
    </w:p>
    <w:p w14:paraId="44849013">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采购人</w:t>
      </w:r>
      <w:r>
        <w:rPr>
          <w:rFonts w:hint="eastAsia" w:ascii="仿宋" w:hAnsi="仿宋" w:eastAsia="仿宋" w:cs="仿宋"/>
          <w:kern w:val="0"/>
          <w:sz w:val="28"/>
          <w:szCs w:val="28"/>
        </w:rPr>
        <w:t>账户名：山东金岭矿业股份有限公司</w:t>
      </w:r>
    </w:p>
    <w:p w14:paraId="62B7909D">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开户银行：工行淄博高新</w:t>
      </w:r>
      <w:r>
        <w:rPr>
          <w:rFonts w:hint="eastAsia" w:ascii="仿宋" w:hAnsi="仿宋" w:eastAsia="仿宋" w:cs="仿宋"/>
          <w:kern w:val="0"/>
          <w:sz w:val="28"/>
          <w:szCs w:val="28"/>
          <w:lang w:val="en-US" w:eastAsia="zh-CN"/>
        </w:rPr>
        <w:t>支行营业室</w:t>
      </w:r>
    </w:p>
    <w:p w14:paraId="3C533457">
      <w:pPr>
        <w:keepNext w:val="0"/>
        <w:keepLines w:val="0"/>
        <w:pageBreakBefore w:val="0"/>
        <w:widowControl/>
        <w:kinsoku/>
        <w:wordWrap/>
        <w:overflowPunct/>
        <w:topLinePunct w:val="0"/>
        <w:bidi w:val="0"/>
        <w:spacing w:line="360" w:lineRule="auto"/>
        <w:ind w:left="525" w:leftChars="25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银行账号：1603065809201000694 </w:t>
      </w:r>
      <w:r>
        <w:rPr>
          <w:rFonts w:hint="eastAsia" w:ascii="仿宋" w:hAnsi="仿宋" w:eastAsia="仿宋" w:cs="仿宋"/>
          <w:sz w:val="28"/>
          <w:szCs w:val="28"/>
        </w:rPr>
        <w:t xml:space="preserve">   </w:t>
      </w:r>
    </w:p>
    <w:p w14:paraId="22F65847">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.5 本项目不接受未购买本谈判文件的谈判供应商投标。</w:t>
      </w:r>
    </w:p>
    <w:p w14:paraId="2E39C723">
      <w:pPr>
        <w:keepNext w:val="0"/>
        <w:keepLines w:val="0"/>
        <w:pageBreakBefore w:val="0"/>
        <w:kinsoku/>
        <w:wordWrap/>
        <w:overflowPunct/>
        <w:topLinePunct w:val="0"/>
        <w:bidi w:val="0"/>
        <w:spacing w:line="360" w:lineRule="auto"/>
        <w:ind w:firstLine="422"/>
        <w:textAlignment w:val="auto"/>
        <w:outlineLvl w:val="0"/>
        <w:rPr>
          <w:rFonts w:hint="eastAsia" w:ascii="仿宋" w:hAnsi="仿宋" w:eastAsia="仿宋" w:cs="仿宋"/>
          <w:b/>
          <w:color w:val="000000"/>
          <w:sz w:val="28"/>
          <w:szCs w:val="28"/>
          <w:lang w:val="zh-CN"/>
        </w:rPr>
      </w:pPr>
      <w:r>
        <w:rPr>
          <w:rFonts w:hint="eastAsia" w:ascii="仿宋" w:hAnsi="仿宋" w:eastAsia="仿宋" w:cs="仿宋"/>
          <w:b/>
          <w:color w:val="000000"/>
          <w:sz w:val="28"/>
          <w:szCs w:val="28"/>
          <w:lang w:val="en-US" w:eastAsia="zh-CN"/>
        </w:rPr>
        <w:t>5.</w:t>
      </w:r>
      <w:r>
        <w:rPr>
          <w:rFonts w:hint="eastAsia" w:ascii="仿宋" w:hAnsi="仿宋" w:eastAsia="仿宋" w:cs="仿宋"/>
          <w:b/>
          <w:color w:val="000000"/>
          <w:sz w:val="28"/>
          <w:szCs w:val="28"/>
          <w:lang w:val="zh-CN"/>
        </w:rPr>
        <w:t>响应文件的递交</w:t>
      </w:r>
    </w:p>
    <w:p w14:paraId="6175F9A3">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.1谈判响应文件递交截止时间（开标时间）、地点。</w:t>
      </w:r>
    </w:p>
    <w:p w14:paraId="30F0029B">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.1.1谈判响应文件递交截止时间(开标时间)：</w:t>
      </w:r>
    </w:p>
    <w:p w14:paraId="60558858">
      <w:pPr>
        <w:pStyle w:val="8"/>
        <w:spacing w:line="560" w:lineRule="exact"/>
        <w:ind w:firstLine="562" w:firstLineChars="200"/>
        <w:rPr>
          <w:rFonts w:hint="eastAsia" w:ascii="仿宋_GB2312" w:eastAsia="仿宋_GB2312"/>
          <w:b/>
          <w:bCs/>
          <w:kern w:val="2"/>
          <w:sz w:val="28"/>
          <w:szCs w:val="28"/>
          <w:lang w:val="en-US" w:eastAsia="zh-CN"/>
        </w:rPr>
      </w:pPr>
      <w:r>
        <w:rPr>
          <w:rFonts w:hint="eastAsia" w:ascii="仿宋_GB2312" w:eastAsia="仿宋_GB2312"/>
          <w:b/>
          <w:bCs/>
          <w:kern w:val="2"/>
          <w:sz w:val="28"/>
          <w:szCs w:val="28"/>
          <w:lang w:val="en-US" w:eastAsia="zh-CN"/>
        </w:rPr>
        <w:t>2025年4月28日08时30分开标</w:t>
      </w:r>
    </w:p>
    <w:p w14:paraId="274C1432">
      <w:pPr>
        <w:keepNext w:val="0"/>
        <w:keepLines w:val="0"/>
        <w:pageBreakBefore w:val="0"/>
        <w:kinsoku/>
        <w:wordWrap/>
        <w:overflowPunct/>
        <w:topLinePunct w:val="0"/>
        <w:bidi w:val="0"/>
        <w:spacing w:line="360" w:lineRule="auto"/>
        <w:ind w:firstLine="420"/>
        <w:textAlignment w:val="auto"/>
        <w:outlineLvl w:val="1"/>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.1.2开标地点: </w:t>
      </w:r>
      <w:r>
        <w:rPr>
          <w:rFonts w:hint="eastAsia" w:ascii="仿宋" w:hAnsi="仿宋" w:eastAsia="仿宋" w:cs="仿宋"/>
          <w:sz w:val="28"/>
          <w:szCs w:val="28"/>
          <w:lang w:eastAsia="zh-CN"/>
        </w:rPr>
        <w:t>山东金岭矿业股份有限公司</w:t>
      </w:r>
      <w:r>
        <w:rPr>
          <w:rFonts w:hint="eastAsia" w:ascii="仿宋" w:hAnsi="仿宋" w:eastAsia="仿宋" w:cs="仿宋"/>
          <w:sz w:val="28"/>
          <w:szCs w:val="28"/>
        </w:rPr>
        <w:t>职工之家三楼开标室。</w:t>
      </w:r>
    </w:p>
    <w:p w14:paraId="6025F3F4">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.2</w:t>
      </w:r>
      <w:r>
        <w:rPr>
          <w:rFonts w:hint="eastAsia" w:ascii="仿宋" w:hAnsi="仿宋" w:eastAsia="仿宋" w:cs="仿宋"/>
          <w:kern w:val="0"/>
          <w:sz w:val="28"/>
          <w:szCs w:val="28"/>
        </w:rPr>
        <w:t>谈判供应商</w:t>
      </w:r>
      <w:r>
        <w:rPr>
          <w:rFonts w:hint="eastAsia" w:ascii="仿宋" w:hAnsi="仿宋" w:eastAsia="仿宋" w:cs="仿宋"/>
          <w:sz w:val="28"/>
          <w:szCs w:val="28"/>
        </w:rPr>
        <w:t>递交响应文件应按照谈判文件的要求进行。</w:t>
      </w:r>
    </w:p>
    <w:p w14:paraId="10E071A9">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.3逾期送达的、未送达指定地点的或者不按照谈判文件要求密封的响应文件，采购人将予以拒收。</w:t>
      </w:r>
    </w:p>
    <w:p w14:paraId="2957AAA3">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b/>
          <w:sz w:val="28"/>
          <w:szCs w:val="28"/>
          <w:highlight w:val="none"/>
        </w:rPr>
      </w:pPr>
      <w:r>
        <w:rPr>
          <w:rFonts w:hint="eastAsia" w:ascii="仿宋" w:hAnsi="仿宋" w:eastAsia="仿宋" w:cs="仿宋"/>
          <w:sz w:val="28"/>
          <w:szCs w:val="28"/>
          <w:lang w:val="en-US" w:eastAsia="zh-CN"/>
        </w:rPr>
        <w:t>5</w:t>
      </w:r>
      <w:r>
        <w:rPr>
          <w:rFonts w:hint="eastAsia" w:ascii="仿宋" w:hAnsi="仿宋" w:eastAsia="仿宋" w:cs="仿宋"/>
          <w:sz w:val="28"/>
          <w:szCs w:val="28"/>
        </w:rPr>
        <w:t>.4</w:t>
      </w:r>
      <w:r>
        <w:rPr>
          <w:rFonts w:hint="eastAsia" w:ascii="仿宋" w:hAnsi="仿宋" w:eastAsia="仿宋" w:cs="仿宋"/>
          <w:b/>
          <w:sz w:val="28"/>
          <w:szCs w:val="28"/>
        </w:rPr>
        <w:t>本项目采用</w:t>
      </w:r>
      <w:r>
        <w:rPr>
          <w:rFonts w:hint="eastAsia" w:ascii="仿宋" w:hAnsi="仿宋" w:eastAsia="仿宋" w:cs="仿宋"/>
          <w:b/>
          <w:sz w:val="28"/>
          <w:szCs w:val="28"/>
          <w:highlight w:val="none"/>
        </w:rPr>
        <w:t>电话谈判方式,</w:t>
      </w:r>
      <w:r>
        <w:rPr>
          <w:rFonts w:hint="eastAsia" w:ascii="仿宋" w:hAnsi="仿宋" w:eastAsia="仿宋" w:cs="仿宋"/>
          <w:b/>
          <w:kern w:val="0"/>
          <w:sz w:val="28"/>
          <w:szCs w:val="28"/>
          <w:highlight w:val="none"/>
        </w:rPr>
        <w:t>谈判供应商</w:t>
      </w:r>
      <w:r>
        <w:rPr>
          <w:rFonts w:hint="eastAsia" w:ascii="仿宋" w:hAnsi="仿宋" w:eastAsia="仿宋" w:cs="仿宋"/>
          <w:b/>
          <w:sz w:val="28"/>
          <w:szCs w:val="28"/>
          <w:highlight w:val="none"/>
        </w:rPr>
        <w:t>不参加现场开标活动,需在开标时间段保持电话畅通。</w:t>
      </w:r>
    </w:p>
    <w:p w14:paraId="54433B5B">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.4.1</w:t>
      </w:r>
      <w:r>
        <w:rPr>
          <w:rFonts w:hint="eastAsia" w:ascii="仿宋" w:hAnsi="仿宋" w:eastAsia="仿宋" w:cs="仿宋"/>
          <w:b/>
          <w:bCs/>
          <w:sz w:val="28"/>
          <w:szCs w:val="28"/>
        </w:rPr>
        <w:t>谈判响应文件通过邮寄快递的方式送达</w:t>
      </w:r>
      <w:r>
        <w:rPr>
          <w:rFonts w:hint="eastAsia" w:ascii="仿宋" w:hAnsi="仿宋" w:eastAsia="仿宋" w:cs="仿宋"/>
          <w:sz w:val="28"/>
          <w:szCs w:val="28"/>
        </w:rPr>
        <w:t>，谈判响应文件</w:t>
      </w:r>
      <w:r>
        <w:rPr>
          <w:rFonts w:hint="eastAsia" w:ascii="仿宋" w:hAnsi="仿宋" w:eastAsia="仿宋" w:cs="仿宋"/>
          <w:sz w:val="28"/>
          <w:szCs w:val="28"/>
          <w:highlight w:val="none"/>
        </w:rPr>
        <w:t>及U盘</w:t>
      </w:r>
      <w:r>
        <w:rPr>
          <w:rFonts w:hint="eastAsia" w:ascii="仿宋" w:hAnsi="仿宋" w:eastAsia="仿宋" w:cs="仿宋"/>
          <w:sz w:val="28"/>
          <w:szCs w:val="28"/>
        </w:rPr>
        <w:t>必须在谈判响应文件递交截止时间前送达到山东省淄博市</w:t>
      </w:r>
      <w:r>
        <w:rPr>
          <w:rFonts w:hint="eastAsia" w:ascii="仿宋" w:hAnsi="仿宋" w:eastAsia="仿宋" w:cs="仿宋"/>
          <w:sz w:val="28"/>
          <w:szCs w:val="28"/>
          <w:lang w:eastAsia="zh-CN"/>
        </w:rPr>
        <w:t>高新区</w:t>
      </w:r>
      <w:r>
        <w:rPr>
          <w:rFonts w:hint="eastAsia" w:ascii="仿宋" w:hAnsi="仿宋" w:eastAsia="仿宋" w:cs="仿宋"/>
          <w:sz w:val="28"/>
          <w:szCs w:val="28"/>
        </w:rPr>
        <w:t>中埠镇山东金岭矿业股份有限公司招标办。招标办工作人员签收邮寄包裹的时间即为谈判供应商谈判响应文件的送达时间，逾期送达的谈判响应文件无效，后果由谈判供应商自行承担。接收邮寄快递包裹的时间为工作日上午8: 00~12: 00，下午13: 00~17:00，谈判供应商应对自己的谈判响应文件的快递包封和密封性负责，如送达的</w:t>
      </w:r>
      <w:bookmarkStart w:id="5" w:name="_GoBack"/>
      <w:bookmarkEnd w:id="5"/>
      <w:r>
        <w:rPr>
          <w:rFonts w:hint="eastAsia" w:ascii="仿宋" w:hAnsi="仿宋" w:eastAsia="仿宋" w:cs="仿宋"/>
          <w:sz w:val="28"/>
          <w:szCs w:val="28"/>
        </w:rPr>
        <w:t>快递包裹出现破损导致谈判响应文件密封性包封破损的，后果由谈判供应商自行承担。</w:t>
      </w:r>
    </w:p>
    <w:p w14:paraId="19CF0B65">
      <w:pPr>
        <w:keepNext w:val="0"/>
        <w:keepLines w:val="0"/>
        <w:pageBreakBefore w:val="0"/>
        <w:kinsoku/>
        <w:wordWrap/>
        <w:overflowPunct/>
        <w:topLinePunct w:val="0"/>
        <w:bidi w:val="0"/>
        <w:spacing w:line="360" w:lineRule="auto"/>
        <w:ind w:firstLine="420"/>
        <w:textAlignment w:val="auto"/>
        <w:rPr>
          <w:rFonts w:hint="eastAsia" w:ascii="黑体" w:hAnsi="黑体" w:eastAsia="黑体" w:cs="黑体"/>
          <w:sz w:val="32"/>
          <w:szCs w:val="32"/>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.4.2谈判供应商应充分预留谈判响应文件邮寄、送达所需要的时间。</w:t>
      </w:r>
      <w:r>
        <w:rPr>
          <w:rFonts w:hint="eastAsia" w:ascii="黑体" w:hAnsi="黑体" w:eastAsia="黑体" w:cs="黑体"/>
          <w:b/>
          <w:bCs/>
          <w:color w:val="FF0000"/>
          <w:sz w:val="32"/>
          <w:szCs w:val="32"/>
        </w:rPr>
        <w:t>包裹</w:t>
      </w:r>
      <w:r>
        <w:rPr>
          <w:rFonts w:hint="eastAsia" w:ascii="黑体" w:hAnsi="黑体" w:eastAsia="黑体" w:cs="黑体"/>
          <w:b/>
          <w:bCs/>
          <w:color w:val="FF0000"/>
          <w:sz w:val="32"/>
          <w:szCs w:val="32"/>
          <w:lang w:eastAsia="zh-CN"/>
        </w:rPr>
        <w:t>邮寄请选用顺丰速递</w:t>
      </w:r>
      <w:r>
        <w:rPr>
          <w:rFonts w:hint="eastAsia" w:ascii="黑体" w:hAnsi="黑体" w:eastAsia="黑体" w:cs="黑体"/>
          <w:sz w:val="32"/>
          <w:szCs w:val="32"/>
          <w:lang w:eastAsia="zh-CN"/>
        </w:rPr>
        <w:t>。</w:t>
      </w:r>
    </w:p>
    <w:p w14:paraId="756674D1">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.4.3谈判供应商在按照谈判文件的要求装订、密封好谈判响应文件后，应使用不透明、防水的邮寄袋(或箱)再次包裹已密封好的谈判响应文件，并在</w:t>
      </w:r>
      <w:r>
        <w:rPr>
          <w:rFonts w:hint="eastAsia" w:ascii="仿宋" w:hAnsi="仿宋" w:eastAsia="仿宋" w:cs="仿宋"/>
          <w:b/>
          <w:bCs/>
          <w:color w:val="FF0000"/>
          <w:sz w:val="28"/>
          <w:szCs w:val="28"/>
        </w:rPr>
        <w:t>邮寄袋(或箱)上注明项目名称、项目编号、谈判供应商名称</w:t>
      </w:r>
      <w:r>
        <w:rPr>
          <w:rFonts w:hint="eastAsia" w:ascii="仿宋" w:hAnsi="仿宋" w:eastAsia="仿宋" w:cs="仿宋"/>
          <w:sz w:val="28"/>
          <w:szCs w:val="28"/>
        </w:rPr>
        <w:t>等信息（方式不限），工作人员将依据此信息将邮寄袋(或箱)提交该项目的开标、谈判环节。如采购人收到的邮寄包裹未按上述要求进行标识，造成无法将谈判响应文件提交至该项目开标、谈判环节的，由此产生的后果由谈判供应商自行承担。</w:t>
      </w:r>
    </w:p>
    <w:p w14:paraId="285DDD39">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b/>
          <w:bCs/>
          <w:i w:val="0"/>
          <w:iCs w:val="0"/>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.4.4</w:t>
      </w:r>
      <w:r>
        <w:rPr>
          <w:rFonts w:hint="eastAsia" w:ascii="仿宋" w:hAnsi="仿宋" w:eastAsia="仿宋" w:cs="仿宋"/>
          <w:b/>
          <w:bCs/>
          <w:i w:val="0"/>
          <w:iCs w:val="0"/>
          <w:sz w:val="28"/>
          <w:szCs w:val="28"/>
        </w:rPr>
        <w:t>谈判响应文件邮寄地址</w:t>
      </w:r>
    </w:p>
    <w:p w14:paraId="23CC7687">
      <w:pPr>
        <w:keepNext w:val="0"/>
        <w:keepLines w:val="0"/>
        <w:pageBreakBefore w:val="0"/>
        <w:kinsoku/>
        <w:wordWrap/>
        <w:overflowPunct/>
        <w:topLinePunct w:val="0"/>
        <w:bidi w:val="0"/>
        <w:spacing w:line="360" w:lineRule="auto"/>
        <w:textAlignment w:val="auto"/>
        <w:rPr>
          <w:rFonts w:hint="eastAsia" w:ascii="仿宋" w:hAnsi="仿宋" w:eastAsia="仿宋" w:cs="仿宋"/>
          <w:sz w:val="28"/>
          <w:szCs w:val="28"/>
        </w:rPr>
      </w:pPr>
      <w:r>
        <w:rPr>
          <w:rFonts w:hint="eastAsia" w:ascii="仿宋" w:hAnsi="仿宋" w:eastAsia="仿宋" w:cs="仿宋"/>
          <w:b/>
          <w:bCs/>
          <w:i w:val="0"/>
          <w:iCs w:val="0"/>
          <w:sz w:val="28"/>
          <w:szCs w:val="28"/>
        </w:rPr>
        <w:t xml:space="preserve"> </w:t>
      </w:r>
      <w:r>
        <w:rPr>
          <w:rFonts w:hint="eastAsia" w:ascii="仿宋" w:hAnsi="仿宋" w:eastAsia="仿宋" w:cs="仿宋"/>
          <w:b w:val="0"/>
          <w:bCs w:val="0"/>
          <w:i w:val="0"/>
          <w:iCs w:val="0"/>
          <w:sz w:val="28"/>
          <w:szCs w:val="28"/>
          <w:lang w:val="en-US" w:eastAsia="zh-CN"/>
        </w:rPr>
        <w:t xml:space="preserve">  地址：</w:t>
      </w:r>
      <w:r>
        <w:rPr>
          <w:rFonts w:hint="eastAsia" w:ascii="仿宋" w:hAnsi="仿宋" w:eastAsia="仿宋" w:cs="仿宋"/>
          <w:sz w:val="28"/>
          <w:szCs w:val="28"/>
        </w:rPr>
        <w:t>山东省淄博市</w:t>
      </w:r>
      <w:r>
        <w:rPr>
          <w:rFonts w:hint="eastAsia" w:ascii="仿宋" w:hAnsi="仿宋" w:eastAsia="仿宋" w:cs="仿宋"/>
          <w:sz w:val="28"/>
          <w:szCs w:val="28"/>
          <w:lang w:eastAsia="zh-CN"/>
        </w:rPr>
        <w:t>高新区</w:t>
      </w:r>
      <w:r>
        <w:rPr>
          <w:rFonts w:hint="eastAsia" w:ascii="仿宋" w:hAnsi="仿宋" w:eastAsia="仿宋" w:cs="仿宋"/>
          <w:sz w:val="28"/>
          <w:szCs w:val="28"/>
        </w:rPr>
        <w:t>中埠镇山东金岭矿业股份有限公司</w:t>
      </w:r>
    </w:p>
    <w:p w14:paraId="3A751CE3">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收件人:招标办</w:t>
      </w:r>
    </w:p>
    <w:p w14:paraId="7EA3BDAE">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联系电话: 0533-3088212</w:t>
      </w:r>
    </w:p>
    <w:p w14:paraId="57EB10B4">
      <w:pPr>
        <w:keepNext w:val="0"/>
        <w:keepLines w:val="0"/>
        <w:pageBreakBefore w:val="0"/>
        <w:kinsoku/>
        <w:wordWrap/>
        <w:overflowPunct/>
        <w:topLinePunct w:val="0"/>
        <w:bidi w:val="0"/>
        <w:spacing w:line="360" w:lineRule="auto"/>
        <w:ind w:firstLine="422"/>
        <w:textAlignment w:val="auto"/>
        <w:outlineLvl w:val="0"/>
        <w:rPr>
          <w:rFonts w:hint="eastAsia" w:ascii="仿宋" w:hAnsi="仿宋" w:eastAsia="仿宋" w:cs="仿宋"/>
          <w:b/>
          <w:bCs/>
          <w:sz w:val="28"/>
          <w:szCs w:val="28"/>
        </w:rPr>
      </w:pPr>
      <w:bookmarkStart w:id="0" w:name="_Toc3041"/>
      <w:bookmarkStart w:id="1" w:name="_Toc20031"/>
      <w:bookmarkStart w:id="2" w:name="_Toc392227734"/>
      <w:r>
        <w:rPr>
          <w:rFonts w:hint="eastAsia" w:ascii="仿宋" w:hAnsi="仿宋" w:eastAsia="仿宋" w:cs="仿宋"/>
          <w:b/>
          <w:bCs/>
          <w:sz w:val="28"/>
          <w:szCs w:val="28"/>
          <w:lang w:val="en-US" w:eastAsia="zh-CN"/>
        </w:rPr>
        <w:t>6.</w:t>
      </w:r>
      <w:r>
        <w:rPr>
          <w:rFonts w:hint="eastAsia" w:ascii="仿宋" w:hAnsi="仿宋" w:eastAsia="仿宋" w:cs="仿宋"/>
          <w:b/>
          <w:bCs/>
          <w:sz w:val="28"/>
          <w:szCs w:val="28"/>
        </w:rPr>
        <w:t>发布公告的媒介</w:t>
      </w:r>
      <w:bookmarkEnd w:id="0"/>
      <w:bookmarkEnd w:id="1"/>
      <w:bookmarkEnd w:id="2"/>
    </w:p>
    <w:p w14:paraId="0BFCAF5A">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本项目谈判公告在“</w:t>
      </w:r>
      <w:r>
        <w:rPr>
          <w:rFonts w:hint="eastAsia" w:ascii="仿宋" w:hAnsi="仿宋" w:eastAsia="仿宋" w:cs="仿宋"/>
          <w:kern w:val="0"/>
          <w:sz w:val="28"/>
          <w:szCs w:val="28"/>
        </w:rPr>
        <w:t>山钢集团阳光购销平台（http://bams.shansteelgroup.com/）</w:t>
      </w:r>
      <w:r>
        <w:rPr>
          <w:rFonts w:hint="eastAsia" w:ascii="仿宋" w:hAnsi="仿宋" w:eastAsia="仿宋" w:cs="仿宋"/>
          <w:sz w:val="28"/>
          <w:szCs w:val="28"/>
        </w:rPr>
        <w:t>”发布。谈判公告将明确对谈判供应商的资格要求、发售谈判文件的日期和方式、投标、开标等事宜。</w:t>
      </w:r>
    </w:p>
    <w:p w14:paraId="08CAC2B5">
      <w:pPr>
        <w:keepNext w:val="0"/>
        <w:keepLines w:val="0"/>
        <w:pageBreakBefore w:val="0"/>
        <w:kinsoku/>
        <w:wordWrap/>
        <w:overflowPunct/>
        <w:topLinePunct w:val="0"/>
        <w:bidi w:val="0"/>
        <w:spacing w:line="360" w:lineRule="auto"/>
        <w:ind w:firstLine="422"/>
        <w:textAlignment w:val="auto"/>
        <w:outlineLvl w:val="0"/>
        <w:rPr>
          <w:rFonts w:hint="eastAsia" w:ascii="仿宋" w:hAnsi="仿宋" w:eastAsia="仿宋" w:cs="仿宋"/>
          <w:b/>
          <w:bCs/>
          <w:sz w:val="28"/>
          <w:szCs w:val="28"/>
        </w:rPr>
      </w:pPr>
      <w:bookmarkStart w:id="3" w:name="_Toc27956"/>
      <w:bookmarkStart w:id="4" w:name="_Toc12142"/>
      <w:r>
        <w:rPr>
          <w:rFonts w:hint="eastAsia" w:ascii="仿宋" w:hAnsi="仿宋" w:eastAsia="仿宋" w:cs="仿宋"/>
          <w:b/>
          <w:bCs/>
          <w:sz w:val="28"/>
          <w:szCs w:val="28"/>
          <w:lang w:val="en-US" w:eastAsia="zh-CN"/>
        </w:rPr>
        <w:t>7.</w:t>
      </w:r>
      <w:r>
        <w:rPr>
          <w:rFonts w:hint="eastAsia" w:ascii="仿宋" w:hAnsi="仿宋" w:eastAsia="仿宋" w:cs="仿宋"/>
          <w:b/>
          <w:bCs/>
          <w:sz w:val="28"/>
          <w:szCs w:val="28"/>
        </w:rPr>
        <w:t>联系方式</w:t>
      </w:r>
      <w:bookmarkEnd w:id="3"/>
      <w:bookmarkEnd w:id="4"/>
    </w:p>
    <w:p w14:paraId="2C2FB5C2">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联系地址：淄博市</w:t>
      </w:r>
      <w:r>
        <w:rPr>
          <w:rFonts w:hint="eastAsia" w:ascii="仿宋" w:hAnsi="仿宋" w:eastAsia="仿宋" w:cs="仿宋"/>
          <w:sz w:val="28"/>
          <w:szCs w:val="28"/>
          <w:lang w:eastAsia="zh-CN"/>
        </w:rPr>
        <w:t>高新区</w:t>
      </w:r>
      <w:r>
        <w:rPr>
          <w:rFonts w:hint="eastAsia" w:ascii="仿宋" w:hAnsi="仿宋" w:eastAsia="仿宋" w:cs="仿宋"/>
          <w:sz w:val="28"/>
          <w:szCs w:val="28"/>
        </w:rPr>
        <w:t>中埠镇。</w:t>
      </w:r>
    </w:p>
    <w:p w14:paraId="4B75119B">
      <w:pPr>
        <w:pStyle w:val="2"/>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电子邮箱: jlkyzbb@163.com</w:t>
      </w:r>
    </w:p>
    <w:p w14:paraId="434F6066">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咨询时间： 工作日  上午：8:30-11:45      下午：13:30-16:45</w:t>
      </w:r>
    </w:p>
    <w:tbl>
      <w:tblPr>
        <w:tblStyle w:val="6"/>
        <w:tblpPr w:leftFromText="180" w:rightFromText="180" w:vertAnchor="text" w:horzAnchor="margin" w:tblpXSpec="center" w:tblpY="210"/>
        <w:tblOverlap w:val="never"/>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454"/>
        <w:gridCol w:w="3209"/>
        <w:gridCol w:w="2977"/>
      </w:tblGrid>
      <w:tr w14:paraId="7AA0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dxa"/>
            <w:vAlign w:val="center"/>
          </w:tcPr>
          <w:p w14:paraId="30B7AD12">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序号</w:t>
            </w:r>
          </w:p>
        </w:tc>
        <w:tc>
          <w:tcPr>
            <w:tcW w:w="1454" w:type="dxa"/>
            <w:vAlign w:val="center"/>
          </w:tcPr>
          <w:p w14:paraId="3DDBBE1E">
            <w:pPr>
              <w:keepNext w:val="0"/>
              <w:keepLines w:val="0"/>
              <w:pageBreakBefore w:val="0"/>
              <w:kinsoku/>
              <w:wordWrap/>
              <w:overflowPunct/>
              <w:topLinePunct w:val="0"/>
              <w:bidi w:val="0"/>
              <w:spacing w:line="360" w:lineRule="auto"/>
              <w:ind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业务</w:t>
            </w:r>
          </w:p>
        </w:tc>
        <w:tc>
          <w:tcPr>
            <w:tcW w:w="3209" w:type="dxa"/>
            <w:vAlign w:val="center"/>
          </w:tcPr>
          <w:p w14:paraId="048F082E">
            <w:pPr>
              <w:keepNext w:val="0"/>
              <w:keepLines w:val="0"/>
              <w:pageBreakBefore w:val="0"/>
              <w:kinsoku/>
              <w:wordWrap/>
              <w:overflowPunct/>
              <w:topLinePunct w:val="0"/>
              <w:bidi w:val="0"/>
              <w:spacing w:line="360" w:lineRule="auto"/>
              <w:ind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联系人</w:t>
            </w:r>
          </w:p>
        </w:tc>
        <w:tc>
          <w:tcPr>
            <w:tcW w:w="2977" w:type="dxa"/>
            <w:vAlign w:val="center"/>
          </w:tcPr>
          <w:p w14:paraId="6B9184B3">
            <w:pPr>
              <w:keepNext w:val="0"/>
              <w:keepLines w:val="0"/>
              <w:pageBreakBefore w:val="0"/>
              <w:kinsoku/>
              <w:wordWrap/>
              <w:overflowPunct/>
              <w:topLinePunct w:val="0"/>
              <w:bidi w:val="0"/>
              <w:spacing w:line="360" w:lineRule="auto"/>
              <w:ind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联系方式</w:t>
            </w:r>
          </w:p>
        </w:tc>
      </w:tr>
      <w:tr w14:paraId="59EF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dxa"/>
            <w:vAlign w:val="center"/>
          </w:tcPr>
          <w:p w14:paraId="699D0C6B">
            <w:pPr>
              <w:keepNext w:val="0"/>
              <w:keepLines w:val="0"/>
              <w:pageBreakBefore w:val="0"/>
              <w:kinsoku/>
              <w:wordWrap/>
              <w:overflowPunct/>
              <w:topLinePunct w:val="0"/>
              <w:bidi w:val="0"/>
              <w:spacing w:line="360" w:lineRule="auto"/>
              <w:ind w:leftChars="-12" w:hanging="33" w:hangingChars="12"/>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1454" w:type="dxa"/>
            <w:vAlign w:val="center"/>
          </w:tcPr>
          <w:p w14:paraId="6EC7C7D5">
            <w:pPr>
              <w:keepNext w:val="0"/>
              <w:keepLines w:val="0"/>
              <w:pageBreakBefore w:val="0"/>
              <w:kinsoku/>
              <w:wordWrap/>
              <w:overflowPunct/>
              <w:topLinePunct w:val="0"/>
              <w:bidi w:val="0"/>
              <w:spacing w:line="360" w:lineRule="auto"/>
              <w:ind w:left="-2" w:leftChars="-1"/>
              <w:jc w:val="center"/>
              <w:textAlignment w:val="auto"/>
              <w:rPr>
                <w:rFonts w:hint="eastAsia" w:ascii="仿宋" w:hAnsi="仿宋" w:eastAsia="仿宋" w:cs="仿宋"/>
                <w:sz w:val="28"/>
                <w:szCs w:val="28"/>
              </w:rPr>
            </w:pPr>
            <w:r>
              <w:rPr>
                <w:rFonts w:hint="eastAsia" w:ascii="仿宋" w:hAnsi="仿宋" w:eastAsia="仿宋" w:cs="仿宋"/>
                <w:sz w:val="28"/>
                <w:szCs w:val="28"/>
              </w:rPr>
              <w:t>投标咨询</w:t>
            </w:r>
          </w:p>
        </w:tc>
        <w:tc>
          <w:tcPr>
            <w:tcW w:w="3209" w:type="dxa"/>
            <w:vAlign w:val="center"/>
          </w:tcPr>
          <w:p w14:paraId="4E8BF7B5">
            <w:pPr>
              <w:keepNext w:val="0"/>
              <w:keepLines w:val="0"/>
              <w:pageBreakBefore w:val="0"/>
              <w:kinsoku/>
              <w:wordWrap/>
              <w:overflowPunct/>
              <w:topLinePunct w:val="0"/>
              <w:bidi w:val="0"/>
              <w:spacing w:line="360" w:lineRule="auto"/>
              <w:ind w:left="-2" w:leftChars="-1"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王先生/</w:t>
            </w:r>
            <w:r>
              <w:rPr>
                <w:rFonts w:hint="eastAsia" w:ascii="仿宋" w:hAnsi="仿宋" w:eastAsia="仿宋" w:cs="仿宋"/>
                <w:sz w:val="28"/>
                <w:szCs w:val="28"/>
                <w:lang w:eastAsia="zh-CN"/>
              </w:rPr>
              <w:t>宫</w:t>
            </w:r>
            <w:r>
              <w:rPr>
                <w:rFonts w:hint="eastAsia" w:ascii="仿宋" w:hAnsi="仿宋" w:eastAsia="仿宋" w:cs="仿宋"/>
                <w:sz w:val="28"/>
                <w:szCs w:val="28"/>
              </w:rPr>
              <w:t>先生</w:t>
            </w:r>
          </w:p>
        </w:tc>
        <w:tc>
          <w:tcPr>
            <w:tcW w:w="2977" w:type="dxa"/>
            <w:vAlign w:val="center"/>
          </w:tcPr>
          <w:p w14:paraId="65200930">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0533-3088212</w:t>
            </w:r>
          </w:p>
          <w:p w14:paraId="0DF438AC">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0533-3089963</w:t>
            </w:r>
          </w:p>
        </w:tc>
      </w:tr>
      <w:tr w14:paraId="49D5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dxa"/>
            <w:vAlign w:val="center"/>
          </w:tcPr>
          <w:p w14:paraId="4E1934AE">
            <w:pPr>
              <w:keepNext w:val="0"/>
              <w:keepLines w:val="0"/>
              <w:pageBreakBefore w:val="0"/>
              <w:kinsoku/>
              <w:wordWrap/>
              <w:overflowPunct/>
              <w:topLinePunct w:val="0"/>
              <w:bidi w:val="0"/>
              <w:spacing w:line="360" w:lineRule="auto"/>
              <w:ind w:leftChars="-12" w:hanging="33" w:hangingChars="12"/>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1454" w:type="dxa"/>
            <w:vAlign w:val="center"/>
          </w:tcPr>
          <w:p w14:paraId="7D514176">
            <w:pPr>
              <w:keepNext w:val="0"/>
              <w:keepLines w:val="0"/>
              <w:pageBreakBefore w:val="0"/>
              <w:kinsoku/>
              <w:wordWrap/>
              <w:overflowPunct/>
              <w:topLinePunct w:val="0"/>
              <w:bidi w:val="0"/>
              <w:spacing w:line="360" w:lineRule="auto"/>
              <w:ind w:left="-2" w:leftChars="-1"/>
              <w:jc w:val="center"/>
              <w:textAlignment w:val="auto"/>
              <w:rPr>
                <w:rFonts w:hint="eastAsia" w:ascii="仿宋" w:hAnsi="仿宋" w:eastAsia="仿宋" w:cs="仿宋"/>
                <w:sz w:val="28"/>
                <w:szCs w:val="28"/>
              </w:rPr>
            </w:pPr>
            <w:r>
              <w:rPr>
                <w:rFonts w:hint="eastAsia" w:ascii="仿宋" w:hAnsi="仿宋" w:eastAsia="仿宋" w:cs="仿宋"/>
                <w:sz w:val="28"/>
                <w:szCs w:val="28"/>
              </w:rPr>
              <w:t>商务咨询</w:t>
            </w:r>
          </w:p>
        </w:tc>
        <w:tc>
          <w:tcPr>
            <w:tcW w:w="3209" w:type="dxa"/>
            <w:vAlign w:val="center"/>
          </w:tcPr>
          <w:p w14:paraId="46D37071">
            <w:pPr>
              <w:keepNext w:val="0"/>
              <w:keepLines w:val="0"/>
              <w:pageBreakBefore w:val="0"/>
              <w:kinsoku/>
              <w:wordWrap/>
              <w:overflowPunct/>
              <w:topLinePunct w:val="0"/>
              <w:bidi w:val="0"/>
              <w:spacing w:line="360" w:lineRule="auto"/>
              <w:ind w:left="-2" w:leftChars="-1" w:firstLine="44" w:firstLineChars="16"/>
              <w:jc w:val="center"/>
              <w:textAlignment w:val="auto"/>
              <w:rPr>
                <w:rFonts w:hint="eastAsia" w:ascii="仿宋" w:hAnsi="仿宋" w:eastAsia="仿宋" w:cs="仿宋"/>
                <w:sz w:val="28"/>
                <w:szCs w:val="28"/>
              </w:rPr>
            </w:pPr>
          </w:p>
        </w:tc>
        <w:tc>
          <w:tcPr>
            <w:tcW w:w="2977" w:type="dxa"/>
            <w:vAlign w:val="center"/>
          </w:tcPr>
          <w:p w14:paraId="6FE76008">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0533-3089341</w:t>
            </w:r>
          </w:p>
          <w:p w14:paraId="6B5F8EEC">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0533-3089336</w:t>
            </w:r>
          </w:p>
          <w:p w14:paraId="34B7D2C8">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0533-3088011</w:t>
            </w:r>
          </w:p>
          <w:p w14:paraId="65735AD5">
            <w:pPr>
              <w:pStyle w:val="2"/>
              <w:rPr>
                <w:rFonts w:hint="default" w:eastAsia="仿宋"/>
                <w:lang w:val="en-US" w:eastAsia="zh-CN"/>
              </w:rPr>
            </w:pPr>
            <w:r>
              <w:rPr>
                <w:rFonts w:hint="eastAsia" w:ascii="仿宋" w:hAnsi="仿宋" w:eastAsia="仿宋" w:cs="仿宋"/>
                <w:kern w:val="0"/>
                <w:sz w:val="28"/>
                <w:szCs w:val="28"/>
                <w:lang w:val="en-US" w:eastAsia="zh-CN"/>
              </w:rPr>
              <w:t xml:space="preserve">    0533-3081526</w:t>
            </w:r>
          </w:p>
        </w:tc>
      </w:tr>
      <w:tr w14:paraId="4538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dxa"/>
            <w:vAlign w:val="center"/>
          </w:tcPr>
          <w:p w14:paraId="10258DB2">
            <w:pPr>
              <w:keepNext w:val="0"/>
              <w:keepLines w:val="0"/>
              <w:pageBreakBefore w:val="0"/>
              <w:kinsoku/>
              <w:wordWrap/>
              <w:overflowPunct/>
              <w:topLinePunct w:val="0"/>
              <w:bidi w:val="0"/>
              <w:spacing w:line="360" w:lineRule="auto"/>
              <w:ind w:leftChars="-12" w:hanging="33" w:hangingChars="12"/>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p>
        </w:tc>
        <w:tc>
          <w:tcPr>
            <w:tcW w:w="1454" w:type="dxa"/>
            <w:vAlign w:val="center"/>
          </w:tcPr>
          <w:p w14:paraId="0463A919">
            <w:pPr>
              <w:keepNext w:val="0"/>
              <w:keepLines w:val="0"/>
              <w:pageBreakBefore w:val="0"/>
              <w:kinsoku/>
              <w:wordWrap/>
              <w:overflowPunct/>
              <w:topLinePunct w:val="0"/>
              <w:bidi w:val="0"/>
              <w:spacing w:line="360" w:lineRule="auto"/>
              <w:ind w:left="-2" w:leftChars="-1"/>
              <w:jc w:val="center"/>
              <w:textAlignment w:val="auto"/>
              <w:rPr>
                <w:rFonts w:hint="eastAsia" w:ascii="仿宋" w:hAnsi="仿宋" w:eastAsia="仿宋" w:cs="仿宋"/>
                <w:sz w:val="28"/>
                <w:szCs w:val="28"/>
              </w:rPr>
            </w:pPr>
            <w:r>
              <w:rPr>
                <w:rFonts w:hint="eastAsia" w:ascii="仿宋" w:hAnsi="仿宋" w:eastAsia="仿宋" w:cs="仿宋"/>
                <w:sz w:val="28"/>
                <w:szCs w:val="28"/>
              </w:rPr>
              <w:t>监督</w:t>
            </w:r>
          </w:p>
        </w:tc>
        <w:tc>
          <w:tcPr>
            <w:tcW w:w="3209" w:type="dxa"/>
            <w:vAlign w:val="center"/>
          </w:tcPr>
          <w:p w14:paraId="7881535C">
            <w:pPr>
              <w:keepNext w:val="0"/>
              <w:keepLines w:val="0"/>
              <w:pageBreakBefore w:val="0"/>
              <w:kinsoku/>
              <w:wordWrap/>
              <w:overflowPunct/>
              <w:topLinePunct w:val="0"/>
              <w:bidi w:val="0"/>
              <w:spacing w:line="360" w:lineRule="auto"/>
              <w:ind w:left="-2" w:leftChars="-1" w:firstLine="44" w:firstLineChars="16"/>
              <w:jc w:val="center"/>
              <w:textAlignment w:val="auto"/>
              <w:rPr>
                <w:rFonts w:hint="eastAsia" w:ascii="仿宋" w:hAnsi="仿宋" w:eastAsia="仿宋" w:cs="仿宋"/>
                <w:sz w:val="28"/>
                <w:szCs w:val="28"/>
              </w:rPr>
            </w:pPr>
          </w:p>
        </w:tc>
        <w:tc>
          <w:tcPr>
            <w:tcW w:w="2977" w:type="dxa"/>
            <w:vAlign w:val="center"/>
          </w:tcPr>
          <w:p w14:paraId="18674278">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0533-3089311</w:t>
            </w:r>
          </w:p>
        </w:tc>
      </w:tr>
    </w:tbl>
    <w:p w14:paraId="3CC408CD">
      <w:pPr>
        <w:keepNext w:val="0"/>
        <w:keepLines w:val="0"/>
        <w:pageBreakBefore w:val="0"/>
        <w:kinsoku/>
        <w:wordWrap/>
        <w:overflowPunct/>
        <w:topLinePunct w:val="0"/>
        <w:bidi w:val="0"/>
        <w:spacing w:line="360" w:lineRule="auto"/>
        <w:textAlignment w:val="auto"/>
        <w:rPr>
          <w:rFonts w:hint="eastAsia" w:ascii="仿宋" w:hAnsi="仿宋" w:eastAsia="仿宋" w:cs="仿宋"/>
          <w:sz w:val="28"/>
          <w:szCs w:val="28"/>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NDA5NGFjYzBjZDk2OTBmMTBjYzA5MGRhMTI4ODMifQ=="/>
  </w:docVars>
  <w:rsids>
    <w:rsidRoot w:val="53F65F4B"/>
    <w:rsid w:val="00A83E69"/>
    <w:rsid w:val="01585E82"/>
    <w:rsid w:val="02794F69"/>
    <w:rsid w:val="04804601"/>
    <w:rsid w:val="07651D73"/>
    <w:rsid w:val="08FE0EF5"/>
    <w:rsid w:val="0B433D44"/>
    <w:rsid w:val="0E736EE7"/>
    <w:rsid w:val="11717326"/>
    <w:rsid w:val="139A06ED"/>
    <w:rsid w:val="13CD1806"/>
    <w:rsid w:val="14612D96"/>
    <w:rsid w:val="15927F2D"/>
    <w:rsid w:val="17151ACE"/>
    <w:rsid w:val="182F4CF8"/>
    <w:rsid w:val="18E91711"/>
    <w:rsid w:val="1F73393F"/>
    <w:rsid w:val="21F7314C"/>
    <w:rsid w:val="255363F3"/>
    <w:rsid w:val="28126CFC"/>
    <w:rsid w:val="29154D3F"/>
    <w:rsid w:val="2C725457"/>
    <w:rsid w:val="2E6604FE"/>
    <w:rsid w:val="34581B70"/>
    <w:rsid w:val="35722DFD"/>
    <w:rsid w:val="36AE47DE"/>
    <w:rsid w:val="39F01A68"/>
    <w:rsid w:val="3AB86F93"/>
    <w:rsid w:val="3B2D16D3"/>
    <w:rsid w:val="40236474"/>
    <w:rsid w:val="43893AE5"/>
    <w:rsid w:val="46217083"/>
    <w:rsid w:val="463A2DF8"/>
    <w:rsid w:val="46526508"/>
    <w:rsid w:val="4823181D"/>
    <w:rsid w:val="4DFF2E39"/>
    <w:rsid w:val="4F304A82"/>
    <w:rsid w:val="501C001D"/>
    <w:rsid w:val="51ED5B97"/>
    <w:rsid w:val="52591C70"/>
    <w:rsid w:val="53636258"/>
    <w:rsid w:val="53A2155A"/>
    <w:rsid w:val="53F65F4B"/>
    <w:rsid w:val="559E3D3C"/>
    <w:rsid w:val="59CE2587"/>
    <w:rsid w:val="5A4E3EC3"/>
    <w:rsid w:val="5C8268E6"/>
    <w:rsid w:val="5C8D6FD6"/>
    <w:rsid w:val="5CE56B8B"/>
    <w:rsid w:val="5F745BC5"/>
    <w:rsid w:val="61EE021E"/>
    <w:rsid w:val="61F56BD7"/>
    <w:rsid w:val="67A4589B"/>
    <w:rsid w:val="6D3960B8"/>
    <w:rsid w:val="6F375DD4"/>
    <w:rsid w:val="71605A35"/>
    <w:rsid w:val="71716998"/>
    <w:rsid w:val="74A1712C"/>
    <w:rsid w:val="75DD510F"/>
    <w:rsid w:val="76D4095D"/>
    <w:rsid w:val="78773F8E"/>
    <w:rsid w:val="7D144297"/>
    <w:rsid w:val="7D441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Arial"/>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p0"/>
    <w:basedOn w:val="1"/>
    <w:qFormat/>
    <w:uiPriority w:val="0"/>
    <w:pPr>
      <w:widowControl/>
      <w:spacing w:line="240" w:lineRule="auto"/>
    </w:pPr>
    <w:rPr>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c2dc38bc-c28d-41a8-b195-c85d61f322f9}">
  <ds:schemaRefs/>
</ds:datastoreItem>
</file>

<file path=customXml/itemProps2.xml><?xml version="1.0" encoding="utf-8"?>
<ds:datastoreItem xmlns:ds="http://schemas.openxmlformats.org/officeDocument/2006/customXml" ds:itemID="{19fba437-af24-4829-ab4b-568eb2951b81}">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2679</Words>
  <Characters>3102</Characters>
  <Lines>0</Lines>
  <Paragraphs>0</Paragraphs>
  <TotalTime>0</TotalTime>
  <ScaleCrop>false</ScaleCrop>
  <LinksUpToDate>false</LinksUpToDate>
  <CharactersWithSpaces>3166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2022-04-07T02:29:00Z</dcterms:created>
  <dc:creator>lenovo</dc:creator>
  <cp:lastModifiedBy>王亚峰</cp:lastModifiedBy>
  <dcterms:modified xsi:type="dcterms:W3CDTF">2025-04-11T02:54:53Z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CD8B15D64E5F43C1BDD847E6EE84EEF1_13</vt:lpwstr>
  </property>
  <property fmtid="{D5CDD505-2E9C-101B-9397-08002B2CF9AE}" pid="4" name="KSOTemplateDocerSaveRecord">
    <vt:lpwstr>eyJoZGlkIjoiNzNhMGRhMDc2NjZiM2JlOGViZjE0NjUyNjg1MTE0NzgiLCJ1c2VySWQiOiIxNjkwOTMzOTI5In0=</vt:lpwstr>
  </property>
</Properties>
</file>