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61EEA">
      <w:pPr>
        <w:spacing w:line="360" w:lineRule="auto"/>
        <w:rPr>
          <w:rFonts w:hint="eastAsia" w:ascii="仿宋" w:hAnsi="仿宋" w:eastAsia="仿宋" w:cs="仿宋"/>
          <w:sz w:val="44"/>
          <w:szCs w:val="44"/>
        </w:rPr>
      </w:pPr>
    </w:p>
    <w:p w14:paraId="12F841AF">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0"/>
        <w:rPr>
          <w:rFonts w:hint="eastAsia" w:ascii="仿宋" w:hAnsi="仿宋" w:eastAsia="仿宋" w:cs="仿宋"/>
          <w:b/>
          <w:sz w:val="44"/>
          <w:szCs w:val="44"/>
        </w:rPr>
      </w:pPr>
    </w:p>
    <w:p w14:paraId="45992EBB">
      <w:pPr>
        <w:pStyle w:val="2"/>
        <w:rPr>
          <w:rFonts w:hint="eastAsia"/>
          <w:sz w:val="21"/>
          <w:szCs w:val="21"/>
        </w:rPr>
      </w:pPr>
    </w:p>
    <w:p w14:paraId="0450FA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sz w:val="44"/>
          <w:szCs w:val="44"/>
        </w:rPr>
      </w:pPr>
      <w:r>
        <w:rPr>
          <w:rFonts w:hint="eastAsia" w:ascii="仿宋" w:hAnsi="仿宋" w:eastAsia="仿宋" w:cs="仿宋"/>
          <w:b/>
          <w:sz w:val="44"/>
          <w:szCs w:val="44"/>
        </w:rPr>
        <w:t>山东金岭矿业股份有限公司</w:t>
      </w:r>
    </w:p>
    <w:p w14:paraId="3132C9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sz w:val="44"/>
          <w:szCs w:val="44"/>
          <w:lang w:eastAsia="zh-CN"/>
        </w:rPr>
      </w:pPr>
      <w:r>
        <w:rPr>
          <w:rFonts w:hint="eastAsia" w:ascii="仿宋" w:hAnsi="仿宋" w:eastAsia="仿宋" w:cs="仿宋"/>
          <w:b/>
          <w:sz w:val="44"/>
          <w:szCs w:val="44"/>
          <w:lang w:eastAsia="zh-CN"/>
        </w:rPr>
        <w:t>2025年</w:t>
      </w:r>
      <w:r>
        <w:rPr>
          <w:rFonts w:hint="eastAsia" w:ascii="仿宋" w:hAnsi="仿宋" w:eastAsia="仿宋" w:cs="仿宋"/>
          <w:b/>
          <w:sz w:val="44"/>
          <w:szCs w:val="44"/>
        </w:rPr>
        <w:t>度物资定价</w:t>
      </w:r>
      <w:r>
        <w:rPr>
          <w:rFonts w:hint="eastAsia" w:ascii="仿宋" w:hAnsi="仿宋" w:eastAsia="仿宋" w:cs="仿宋"/>
          <w:b/>
          <w:sz w:val="44"/>
          <w:szCs w:val="44"/>
          <w:lang w:eastAsia="zh-CN"/>
        </w:rPr>
        <w:t>项目</w:t>
      </w:r>
    </w:p>
    <w:p w14:paraId="17FC3EEF">
      <w:pPr>
        <w:autoSpaceDE w:val="0"/>
        <w:autoSpaceDN w:val="0"/>
        <w:adjustRightInd w:val="0"/>
        <w:spacing w:line="360" w:lineRule="auto"/>
        <w:jc w:val="center"/>
        <w:outlineLvl w:val="1"/>
        <w:rPr>
          <w:rFonts w:hint="eastAsia" w:ascii="仿宋" w:hAnsi="仿宋" w:eastAsia="仿宋" w:cs="仿宋"/>
          <w:sz w:val="28"/>
          <w:szCs w:val="28"/>
        </w:rPr>
      </w:pPr>
      <w:r>
        <w:rPr>
          <w:rFonts w:hint="eastAsia" w:ascii="仿宋" w:hAnsi="仿宋" w:eastAsia="仿宋" w:cs="仿宋"/>
          <w:sz w:val="28"/>
          <w:szCs w:val="28"/>
          <w:highlight w:val="none"/>
        </w:rPr>
        <w:t>（项目编号：</w:t>
      </w:r>
      <w:bookmarkStart w:id="5" w:name="_GoBack"/>
      <w:r>
        <w:rPr>
          <w:rFonts w:hint="eastAsia" w:ascii="仿宋" w:hAnsi="仿宋" w:eastAsia="仿宋" w:cs="仿宋"/>
          <w:sz w:val="28"/>
          <w:szCs w:val="28"/>
          <w:highlight w:val="none"/>
        </w:rPr>
        <w:t>611399250401</w:t>
      </w:r>
      <w:r>
        <w:rPr>
          <w:rFonts w:hint="eastAsia" w:ascii="仿宋" w:hAnsi="仿宋" w:eastAsia="仿宋" w:cs="仿宋"/>
          <w:sz w:val="28"/>
          <w:szCs w:val="28"/>
          <w:highlight w:val="none"/>
          <w:lang w:val="en-US" w:eastAsia="zh-CN"/>
        </w:rPr>
        <w:t>16</w:t>
      </w:r>
      <w:bookmarkEnd w:id="5"/>
      <w:r>
        <w:rPr>
          <w:rFonts w:hint="eastAsia" w:ascii="仿宋" w:hAnsi="仿宋" w:eastAsia="仿宋" w:cs="仿宋"/>
          <w:sz w:val="28"/>
          <w:szCs w:val="28"/>
          <w:highlight w:val="none"/>
        </w:rPr>
        <w:t>）</w:t>
      </w:r>
    </w:p>
    <w:p w14:paraId="3B7CC672">
      <w:pPr>
        <w:rPr>
          <w:rFonts w:hint="eastAsia" w:ascii="仿宋" w:hAnsi="仿宋" w:eastAsia="仿宋" w:cs="仿宋"/>
          <w:sz w:val="28"/>
          <w:szCs w:val="28"/>
        </w:rPr>
      </w:pPr>
    </w:p>
    <w:p w14:paraId="6397ECBA">
      <w:pPr>
        <w:pStyle w:val="2"/>
        <w:ind w:firstLine="420"/>
        <w:rPr>
          <w:rFonts w:hint="eastAsia" w:ascii="仿宋" w:hAnsi="仿宋" w:eastAsia="仿宋" w:cs="仿宋"/>
          <w:sz w:val="28"/>
          <w:szCs w:val="28"/>
        </w:rPr>
      </w:pPr>
    </w:p>
    <w:p w14:paraId="14ECDE20">
      <w:pPr>
        <w:ind w:firstLine="420"/>
        <w:rPr>
          <w:rFonts w:hint="eastAsia" w:ascii="仿宋" w:hAnsi="仿宋" w:eastAsia="仿宋" w:cs="仿宋"/>
          <w:sz w:val="28"/>
          <w:szCs w:val="28"/>
        </w:rPr>
      </w:pPr>
    </w:p>
    <w:p w14:paraId="48195CD0">
      <w:pPr>
        <w:pStyle w:val="2"/>
        <w:ind w:firstLine="420"/>
        <w:rPr>
          <w:rFonts w:hint="eastAsia" w:ascii="仿宋" w:hAnsi="仿宋" w:eastAsia="仿宋" w:cs="仿宋"/>
          <w:sz w:val="28"/>
          <w:szCs w:val="28"/>
        </w:rPr>
      </w:pPr>
    </w:p>
    <w:p w14:paraId="67C1391A">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0"/>
        <w:rPr>
          <w:rFonts w:hint="eastAsia" w:ascii="仿宋" w:hAnsi="仿宋" w:eastAsia="仿宋" w:cs="仿宋"/>
          <w:b/>
          <w:sz w:val="44"/>
          <w:szCs w:val="44"/>
        </w:rPr>
      </w:pPr>
      <w:r>
        <w:rPr>
          <w:rFonts w:hint="eastAsia" w:ascii="仿宋" w:hAnsi="仿宋" w:eastAsia="仿宋" w:cs="仿宋"/>
          <w:b/>
          <w:sz w:val="44"/>
          <w:szCs w:val="44"/>
        </w:rPr>
        <w:t>竞争性谈判公告</w:t>
      </w:r>
    </w:p>
    <w:p w14:paraId="6A0FE872">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b/>
          <w:sz w:val="28"/>
          <w:szCs w:val="28"/>
        </w:rPr>
      </w:pPr>
    </w:p>
    <w:p w14:paraId="3182675D">
      <w:pPr>
        <w:ind w:firstLine="420"/>
        <w:rPr>
          <w:rFonts w:hint="eastAsia" w:ascii="仿宋" w:hAnsi="仿宋" w:eastAsia="仿宋" w:cs="仿宋"/>
          <w:sz w:val="28"/>
          <w:szCs w:val="28"/>
        </w:rPr>
      </w:pPr>
    </w:p>
    <w:p w14:paraId="437EA434">
      <w:pPr>
        <w:ind w:firstLine="420"/>
        <w:rPr>
          <w:rFonts w:hint="eastAsia" w:ascii="仿宋" w:hAnsi="仿宋" w:eastAsia="仿宋" w:cs="仿宋"/>
          <w:sz w:val="28"/>
          <w:szCs w:val="28"/>
        </w:rPr>
      </w:pPr>
    </w:p>
    <w:p w14:paraId="29C9BA20">
      <w:pPr>
        <w:pStyle w:val="2"/>
        <w:rPr>
          <w:rFonts w:hint="eastAsia"/>
        </w:rPr>
      </w:pPr>
    </w:p>
    <w:p w14:paraId="5BA11E74">
      <w:pPr>
        <w:pStyle w:val="2"/>
        <w:rPr>
          <w:rFonts w:hint="eastAsia"/>
        </w:rPr>
      </w:pPr>
    </w:p>
    <w:p w14:paraId="6CB08274">
      <w:pPr>
        <w:rPr>
          <w:rFonts w:hint="eastAsia" w:ascii="仿宋" w:hAnsi="仿宋" w:eastAsia="仿宋" w:cs="仿宋"/>
          <w:sz w:val="28"/>
          <w:szCs w:val="28"/>
        </w:rPr>
      </w:pPr>
    </w:p>
    <w:p w14:paraId="69911743">
      <w:pPr>
        <w:autoSpaceDE w:val="0"/>
        <w:autoSpaceDN w:val="0"/>
        <w:adjustRightInd w:val="0"/>
        <w:spacing w:line="360" w:lineRule="auto"/>
        <w:jc w:val="center"/>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采购人： 山东</w:t>
      </w:r>
      <w:r>
        <w:rPr>
          <w:rFonts w:hint="eastAsia" w:ascii="仿宋" w:hAnsi="仿宋" w:eastAsia="仿宋" w:cs="仿宋"/>
          <w:sz w:val="28"/>
          <w:szCs w:val="28"/>
          <w:highlight w:val="none"/>
          <w:lang w:eastAsia="zh-CN"/>
        </w:rPr>
        <w:t>金岭</w:t>
      </w:r>
      <w:r>
        <w:rPr>
          <w:rFonts w:hint="eastAsia" w:ascii="仿宋" w:hAnsi="仿宋" w:eastAsia="仿宋" w:cs="仿宋"/>
          <w:sz w:val="28"/>
          <w:szCs w:val="28"/>
          <w:highlight w:val="none"/>
        </w:rPr>
        <w:t>矿业</w:t>
      </w:r>
      <w:r>
        <w:rPr>
          <w:rFonts w:hint="eastAsia" w:ascii="仿宋" w:hAnsi="仿宋" w:eastAsia="仿宋" w:cs="仿宋"/>
          <w:sz w:val="28"/>
          <w:szCs w:val="28"/>
          <w:highlight w:val="none"/>
          <w:lang w:eastAsia="zh-CN"/>
        </w:rPr>
        <w:t>股份</w:t>
      </w:r>
      <w:r>
        <w:rPr>
          <w:rFonts w:hint="eastAsia" w:ascii="仿宋" w:hAnsi="仿宋" w:eastAsia="仿宋" w:cs="仿宋"/>
          <w:sz w:val="28"/>
          <w:szCs w:val="28"/>
          <w:highlight w:val="none"/>
        </w:rPr>
        <w:t>有限公司</w:t>
      </w:r>
    </w:p>
    <w:p w14:paraId="05DE249D">
      <w:pPr>
        <w:autoSpaceDE w:val="0"/>
        <w:autoSpaceDN w:val="0"/>
        <w:adjustRightInd w:val="0"/>
        <w:spacing w:line="360" w:lineRule="auto"/>
        <w:jc w:val="center"/>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2025年04月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日</w:t>
      </w:r>
    </w:p>
    <w:p w14:paraId="7DBED7CF">
      <w:pPr>
        <w:pStyle w:val="2"/>
        <w:rPr>
          <w:rFonts w:hint="eastAsia"/>
          <w:lang w:val="zh-CN"/>
        </w:rPr>
      </w:pPr>
    </w:p>
    <w:p w14:paraId="3DE98DD7">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山东金岭矿业股份有限公司</w:t>
      </w:r>
      <w:r>
        <w:rPr>
          <w:rFonts w:hint="eastAsia" w:ascii="仿宋" w:hAnsi="仿宋" w:eastAsia="仿宋" w:cs="仿宋"/>
          <w:sz w:val="28"/>
          <w:szCs w:val="28"/>
          <w:highlight w:val="none"/>
        </w:rPr>
        <w:t>拟对</w:t>
      </w:r>
      <w:r>
        <w:rPr>
          <w:rFonts w:hint="eastAsia" w:ascii="仿宋" w:hAnsi="仿宋" w:eastAsia="仿宋" w:cs="仿宋"/>
          <w:sz w:val="28"/>
          <w:szCs w:val="28"/>
          <w:lang w:val="en-US" w:eastAsia="zh-CN"/>
        </w:rPr>
        <w:t>A 道依茨柴油机及备件、B 德纳变速箱变矩器、C 风筒、D 正泰电器、E 消防器材、F 小径钢丝绳及绳套、</w:t>
      </w:r>
    </w:p>
    <w:p w14:paraId="5F92AAE1">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G 配电箱及变压器、H 电机、I 地辊及防水托辊、J CT3254破碎机备件、</w:t>
      </w:r>
    </w:p>
    <w:p w14:paraId="68FCCF68">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K 电线、L 梅特勒托利多电子磅配件、M 轮胎、N 锚杆锚固剂、O 鑫通凿岩台车备件、P 阀门</w:t>
      </w:r>
      <w:r>
        <w:rPr>
          <w:rFonts w:hint="eastAsia" w:ascii="仿宋" w:hAnsi="仿宋" w:eastAsia="仿宋" w:cs="仿宋"/>
          <w:sz w:val="28"/>
          <w:szCs w:val="28"/>
        </w:rPr>
        <w:t>等</w:t>
      </w:r>
      <w:r>
        <w:rPr>
          <w:rFonts w:hint="eastAsia" w:ascii="仿宋" w:hAnsi="仿宋" w:eastAsia="仿宋" w:cs="仿宋"/>
          <w:sz w:val="28"/>
          <w:szCs w:val="28"/>
          <w:lang w:val="en-US" w:eastAsia="zh-CN"/>
        </w:rPr>
        <w:t>16</w:t>
      </w:r>
      <w:r>
        <w:rPr>
          <w:rFonts w:hint="eastAsia" w:ascii="仿宋" w:hAnsi="仿宋" w:eastAsia="仿宋" w:cs="仿宋"/>
          <w:sz w:val="28"/>
          <w:szCs w:val="28"/>
        </w:rPr>
        <w:t>个标段的年度物资进行</w:t>
      </w:r>
      <w:r>
        <w:rPr>
          <w:rFonts w:hint="eastAsia" w:ascii="仿宋" w:hAnsi="仿宋" w:eastAsia="仿宋" w:cs="仿宋"/>
          <w:sz w:val="28"/>
          <w:szCs w:val="28"/>
          <w:lang w:val="en-US" w:eastAsia="zh-CN"/>
        </w:rPr>
        <w:t>谈判</w:t>
      </w:r>
      <w:r>
        <w:rPr>
          <w:rFonts w:hint="eastAsia" w:ascii="仿宋" w:hAnsi="仿宋" w:eastAsia="仿宋" w:cs="仿宋"/>
          <w:sz w:val="28"/>
          <w:szCs w:val="28"/>
        </w:rPr>
        <w:t>,确定供应商及供货单价。相关事宜公告如下，欢迎符合条件的潜在谈判供应商参加本次采购。</w:t>
      </w:r>
    </w:p>
    <w:p w14:paraId="408C2430">
      <w:pPr>
        <w:keepNext w:val="0"/>
        <w:keepLines w:val="0"/>
        <w:pageBreakBefore w:val="0"/>
        <w:kinsoku/>
        <w:wordWrap/>
        <w:overflowPunct/>
        <w:topLinePunct w:val="0"/>
        <w:autoSpaceDE w:val="0"/>
        <w:autoSpaceDN w:val="0"/>
        <w:bidi w:val="0"/>
        <w:adjustRightInd w:val="0"/>
        <w:spacing w:line="360" w:lineRule="auto"/>
        <w:ind w:firstLine="568" w:firstLineChars="202"/>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val="zh-CN"/>
        </w:rPr>
        <w:t>.采购项目名称及内容：</w:t>
      </w:r>
    </w:p>
    <w:p w14:paraId="2B93F6C5">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default" w:ascii="仿宋" w:hAnsi="仿宋" w:eastAsia="仿宋" w:cs="仿宋"/>
          <w:color w:val="000000"/>
          <w:sz w:val="28"/>
          <w:szCs w:val="28"/>
          <w:highlight w:val="yellow"/>
          <w:lang w:val="en-US"/>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val="zh-CN"/>
        </w:rPr>
        <w:t>.1项目编号：</w:t>
      </w:r>
      <w:r>
        <w:rPr>
          <w:rFonts w:hint="eastAsia" w:ascii="仿宋" w:hAnsi="仿宋" w:eastAsia="仿宋" w:cs="仿宋"/>
          <w:sz w:val="28"/>
          <w:szCs w:val="28"/>
          <w:highlight w:val="none"/>
        </w:rPr>
        <w:t>611399250401</w:t>
      </w:r>
      <w:r>
        <w:rPr>
          <w:rFonts w:hint="eastAsia" w:ascii="仿宋" w:hAnsi="仿宋" w:eastAsia="仿宋" w:cs="仿宋"/>
          <w:sz w:val="28"/>
          <w:szCs w:val="28"/>
          <w:highlight w:val="none"/>
          <w:lang w:val="en-US" w:eastAsia="zh-CN"/>
        </w:rPr>
        <w:t>16</w:t>
      </w:r>
    </w:p>
    <w:p w14:paraId="511296D9">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lang w:val="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.2项目名称：2025年度物资定价项目</w:t>
      </w:r>
    </w:p>
    <w:p w14:paraId="0669B494">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.3采购方式：竞争性谈判</w:t>
      </w:r>
    </w:p>
    <w:p w14:paraId="1FF06FB9">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.4采购内容：</w:t>
      </w:r>
      <w:r>
        <w:rPr>
          <w:rFonts w:hint="eastAsia" w:ascii="仿宋" w:hAnsi="仿宋" w:eastAsia="仿宋" w:cs="仿宋"/>
          <w:sz w:val="28"/>
          <w:szCs w:val="28"/>
          <w:lang w:val="en-US" w:eastAsia="zh-CN"/>
        </w:rPr>
        <w:t>A 道依茨柴油机及备件、B 德纳变速箱变矩器、C 风筒、D 正泰电器、E 消防器材、F 小径钢丝绳及绳套、G 配电箱及变压器、</w:t>
      </w:r>
    </w:p>
    <w:p w14:paraId="3DB6D0A4">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H 电机、I 地辊及防水托辊、J CT3254破碎机备件、K 电线、L 梅特勒托利多电子磅配件、M 轮胎、N 锚杆锚固剂、O 鑫通凿岩台车备件、P 阀门</w:t>
      </w:r>
      <w:r>
        <w:rPr>
          <w:rFonts w:hint="eastAsia" w:ascii="仿宋" w:hAnsi="仿宋" w:eastAsia="仿宋" w:cs="仿宋"/>
          <w:sz w:val="28"/>
          <w:szCs w:val="28"/>
        </w:rPr>
        <w:t>等</w:t>
      </w:r>
      <w:r>
        <w:rPr>
          <w:rFonts w:hint="eastAsia" w:ascii="仿宋" w:hAnsi="仿宋" w:eastAsia="仿宋" w:cs="仿宋"/>
          <w:sz w:val="28"/>
          <w:szCs w:val="28"/>
          <w:lang w:val="en-US" w:eastAsia="zh-CN"/>
        </w:rPr>
        <w:t>16</w:t>
      </w:r>
      <w:r>
        <w:rPr>
          <w:rFonts w:hint="eastAsia" w:ascii="仿宋" w:hAnsi="仿宋" w:eastAsia="仿宋" w:cs="仿宋"/>
          <w:sz w:val="28"/>
          <w:szCs w:val="28"/>
        </w:rPr>
        <w:t>个标段的</w:t>
      </w:r>
      <w:r>
        <w:rPr>
          <w:rFonts w:hint="eastAsia" w:ascii="仿宋" w:hAnsi="仿宋" w:eastAsia="仿宋" w:cs="仿宋"/>
          <w:sz w:val="28"/>
          <w:szCs w:val="28"/>
          <w:highlight w:val="none"/>
        </w:rPr>
        <w:t>年</w:t>
      </w:r>
      <w:r>
        <w:rPr>
          <w:rFonts w:hint="eastAsia" w:ascii="仿宋" w:hAnsi="仿宋" w:eastAsia="仿宋" w:cs="仿宋"/>
          <w:sz w:val="28"/>
          <w:szCs w:val="28"/>
        </w:rPr>
        <w:t>度物资进行采购,确定供应商及供货单价。</w:t>
      </w:r>
    </w:p>
    <w:p w14:paraId="2DE72806">
      <w:pPr>
        <w:keepNext w:val="0"/>
        <w:keepLines w:val="0"/>
        <w:pageBreakBefore w:val="0"/>
        <w:tabs>
          <w:tab w:val="left" w:pos="3219"/>
        </w:tabs>
        <w:kinsoku/>
        <w:wordWrap/>
        <w:overflowPunct/>
        <w:topLinePunct w:val="0"/>
        <w:bidi w:val="0"/>
        <w:spacing w:line="360" w:lineRule="auto"/>
        <w:ind w:firstLine="562" w:firstLineChars="200"/>
        <w:jc w:val="left"/>
        <w:textAlignment w:val="auto"/>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注：本次谈判为年度物资定价，确定供应商及供货单价，具体供货数量、供货时间按采购人</w:t>
      </w:r>
      <w:r>
        <w:rPr>
          <w:rFonts w:hint="eastAsia" w:ascii="仿宋" w:hAnsi="仿宋" w:eastAsia="仿宋" w:cs="仿宋"/>
          <w:b/>
          <w:sz w:val="28"/>
          <w:szCs w:val="28"/>
          <w:highlight w:val="none"/>
          <w:lang w:val="en-US" w:eastAsia="zh-CN"/>
        </w:rPr>
        <w:t>实际需求计划</w:t>
      </w:r>
      <w:r>
        <w:rPr>
          <w:rFonts w:hint="eastAsia" w:ascii="仿宋" w:hAnsi="仿宋" w:eastAsia="仿宋" w:cs="仿宋"/>
          <w:b/>
          <w:sz w:val="28"/>
          <w:szCs w:val="28"/>
          <w:highlight w:val="none"/>
        </w:rPr>
        <w:t>执行。</w:t>
      </w:r>
      <w:r>
        <w:rPr>
          <w:rFonts w:hint="eastAsia" w:ascii="仿宋" w:hAnsi="仿宋" w:eastAsia="仿宋" w:cs="仿宋"/>
          <w:b/>
          <w:sz w:val="28"/>
          <w:szCs w:val="28"/>
          <w:highlight w:val="none"/>
          <w:lang w:val="en-US" w:eastAsia="zh-CN"/>
        </w:rPr>
        <w:t>此价格同样适用于山东金召矿业有限公司和淄博铁鹰球团制造有限公司。</w:t>
      </w:r>
    </w:p>
    <w:p w14:paraId="6C57959F">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lang w:val="zh-CN"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.5</w:t>
      </w:r>
      <w:r>
        <w:rPr>
          <w:rFonts w:hint="eastAsia" w:ascii="仿宋" w:hAnsi="仿宋" w:eastAsia="仿宋" w:cs="仿宋"/>
          <w:sz w:val="28"/>
          <w:szCs w:val="28"/>
          <w:lang w:val="zh-CN" w:eastAsia="zh-CN"/>
        </w:rPr>
        <w:t>交货地点：</w:t>
      </w:r>
      <w:r>
        <w:rPr>
          <w:rFonts w:hint="eastAsia" w:ascii="仿宋" w:hAnsi="仿宋" w:eastAsia="仿宋" w:cs="仿宋"/>
          <w:sz w:val="28"/>
          <w:szCs w:val="28"/>
          <w:lang w:eastAsia="zh-CN"/>
        </w:rPr>
        <w:t>采购人指定地点。</w:t>
      </w:r>
    </w:p>
    <w:p w14:paraId="06849106">
      <w:pPr>
        <w:keepNext w:val="0"/>
        <w:keepLines w:val="0"/>
        <w:pageBreakBefore w:val="0"/>
        <w:widowControl w:val="0"/>
        <w:kinsoku/>
        <w:wordWrap/>
        <w:overflowPunct/>
        <w:topLinePunct w:val="0"/>
        <w:autoSpaceDE w:val="0"/>
        <w:autoSpaceDN w:val="0"/>
        <w:bidi w:val="0"/>
        <w:adjustRightInd w:val="0"/>
        <w:spacing w:line="360" w:lineRule="auto"/>
        <w:ind w:firstLine="562" w:firstLineChars="200"/>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val="zh-CN"/>
        </w:rPr>
        <w:t>.谈判供应商资格要求：</w:t>
      </w:r>
    </w:p>
    <w:p w14:paraId="215A4A48">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outlineLvl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2.1谈判供应商应具有独立法人资格或具有总公司授权的分公司,须为所投标标的的生产制造商、授权代理商（提供代理资质文件）、具有能够替换本标的的同等品牌代理商。</w:t>
      </w:r>
    </w:p>
    <w:p w14:paraId="649C19CB">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outlineLvl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2.2具有行业主管部门认定的制造商资格或相关经营资格，响应供应商已取得相关资质文件（矿安证、煤安证等）。</w:t>
      </w:r>
    </w:p>
    <w:p w14:paraId="14E5B0FB">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outlineLvl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2.3本项目不接受联合体投标。</w:t>
      </w:r>
    </w:p>
    <w:p w14:paraId="470D4ED4">
      <w:pPr>
        <w:keepNext w:val="0"/>
        <w:keepLines w:val="0"/>
        <w:pageBreakBefore w:val="0"/>
        <w:widowControl w:val="0"/>
        <w:kinsoku/>
        <w:wordWrap/>
        <w:overflowPunct/>
        <w:topLinePunct w:val="0"/>
        <w:autoSpaceDE w:val="0"/>
        <w:autoSpaceDN w:val="0"/>
        <w:bidi w:val="0"/>
        <w:adjustRightInd w:val="0"/>
        <w:spacing w:line="360" w:lineRule="auto"/>
        <w:ind w:firstLine="562" w:firstLineChars="200"/>
        <w:jc w:val="left"/>
        <w:textAlignment w:val="auto"/>
        <w:outlineLvl w:val="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3.供应商须知</w:t>
      </w:r>
    </w:p>
    <w:p w14:paraId="49FAEF62">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3.1</w:t>
      </w:r>
      <w:r>
        <w:rPr>
          <w:rFonts w:hint="eastAsia" w:ascii="仿宋" w:hAnsi="仿宋" w:eastAsia="仿宋" w:cs="仿宋"/>
          <w:kern w:val="0"/>
          <w:sz w:val="28"/>
          <w:szCs w:val="28"/>
          <w:lang w:val="zh-CN"/>
        </w:rPr>
        <w:t>谈判供应商所投产品价格必须确保质量和匹配性等，投标产品必须满足采购人使用要求；</w:t>
      </w:r>
    </w:p>
    <w:p w14:paraId="710AACD7">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3.2</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zh-CN"/>
        </w:rPr>
        <w:t>所供产品若出现质量问题，采购人有权拒收，并限期更换，若仍无法满足采购人使用要求，则取消此产品当年供货资格，由价格次低者候补为</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zh-CN"/>
        </w:rPr>
        <w:t>；</w:t>
      </w:r>
    </w:p>
    <w:p w14:paraId="23B99419">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3.3</w:t>
      </w:r>
      <w:r>
        <w:rPr>
          <w:rFonts w:hint="eastAsia" w:ascii="仿宋" w:hAnsi="仿宋" w:eastAsia="仿宋" w:cs="仿宋"/>
          <w:kern w:val="0"/>
          <w:sz w:val="28"/>
          <w:szCs w:val="28"/>
          <w:lang w:val="zh-CN"/>
        </w:rPr>
        <w:t>本次定价谈判确定本年度内的中标供应商及相应供货单价。</w:t>
      </w:r>
    </w:p>
    <w:p w14:paraId="2F2CE4DD">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3.4</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en-US" w:eastAsia="zh-CN"/>
        </w:rPr>
        <w:t>应</w:t>
      </w:r>
      <w:r>
        <w:rPr>
          <w:rFonts w:hint="eastAsia" w:ascii="仿宋" w:hAnsi="仿宋" w:eastAsia="仿宋" w:cs="仿宋"/>
          <w:kern w:val="0"/>
          <w:sz w:val="28"/>
          <w:szCs w:val="28"/>
          <w:lang w:val="zh-CN"/>
        </w:rPr>
        <w:t>按采购人要求及时供货，保证生产运行。如出现供货不及时等情况，采购人为确保生产顺行有权在参标供应商中更换供应商，价格执行</w:t>
      </w:r>
      <w:r>
        <w:rPr>
          <w:rFonts w:hint="eastAsia" w:ascii="仿宋" w:hAnsi="仿宋" w:eastAsia="仿宋" w:cs="仿宋"/>
          <w:kern w:val="0"/>
          <w:sz w:val="28"/>
          <w:szCs w:val="28"/>
          <w:lang w:val="en-US" w:eastAsia="zh-CN"/>
        </w:rPr>
        <w:t>更换供应商</w:t>
      </w:r>
      <w:r>
        <w:rPr>
          <w:rFonts w:hint="eastAsia" w:ascii="仿宋" w:hAnsi="仿宋" w:eastAsia="仿宋" w:cs="仿宋"/>
          <w:kern w:val="0"/>
          <w:sz w:val="28"/>
          <w:szCs w:val="28"/>
          <w:lang w:val="zh-CN"/>
        </w:rPr>
        <w:t>的</w:t>
      </w:r>
      <w:r>
        <w:rPr>
          <w:rFonts w:hint="eastAsia" w:ascii="仿宋" w:hAnsi="仿宋" w:eastAsia="仿宋" w:cs="仿宋"/>
          <w:kern w:val="0"/>
          <w:sz w:val="28"/>
          <w:szCs w:val="28"/>
          <w:lang w:val="en-US" w:eastAsia="zh-CN"/>
        </w:rPr>
        <w:t>最终</w:t>
      </w:r>
      <w:r>
        <w:rPr>
          <w:rFonts w:hint="eastAsia" w:ascii="仿宋" w:hAnsi="仿宋" w:eastAsia="仿宋" w:cs="仿宋"/>
          <w:kern w:val="0"/>
          <w:sz w:val="28"/>
          <w:szCs w:val="28"/>
          <w:lang w:val="zh-CN"/>
        </w:rPr>
        <w:t>单价。</w:t>
      </w:r>
    </w:p>
    <w:p w14:paraId="360FF354">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3.5</w:t>
      </w:r>
      <w:r>
        <w:rPr>
          <w:rFonts w:hint="eastAsia" w:ascii="仿宋" w:hAnsi="仿宋" w:eastAsia="仿宋" w:cs="仿宋"/>
          <w:b/>
          <w:bCs/>
          <w:kern w:val="0"/>
          <w:sz w:val="28"/>
          <w:szCs w:val="28"/>
          <w:lang w:val="en-US" w:eastAsia="zh-CN"/>
        </w:rPr>
        <w:t>投标报价明细表须提供电子版(</w:t>
      </w:r>
      <w:r>
        <w:rPr>
          <w:rFonts w:hint="eastAsia" w:ascii="黑体" w:hAnsi="黑体" w:eastAsia="黑体" w:cs="黑体"/>
          <w:b/>
          <w:bCs/>
          <w:color w:val="FF0000"/>
          <w:kern w:val="0"/>
          <w:sz w:val="32"/>
          <w:szCs w:val="32"/>
          <w:lang w:val="en-US" w:eastAsia="zh-CN"/>
        </w:rPr>
        <w:t>U盘，可编辑版本，有分项报价的需提供Excel版本</w:t>
      </w:r>
      <w:r>
        <w:rPr>
          <w:rFonts w:hint="eastAsia" w:ascii="仿宋" w:hAnsi="仿宋" w:eastAsia="仿宋" w:cs="仿宋"/>
          <w:b/>
          <w:bCs/>
          <w:kern w:val="0"/>
          <w:sz w:val="28"/>
          <w:szCs w:val="28"/>
          <w:lang w:val="en-US" w:eastAsia="zh-CN"/>
        </w:rPr>
        <w:t>)和纸质文件两种方式，</w:t>
      </w:r>
      <w:r>
        <w:rPr>
          <w:rFonts w:hint="eastAsia" w:ascii="黑体" w:hAnsi="黑体" w:eastAsia="黑体" w:cs="黑体"/>
          <w:b/>
          <w:bCs/>
          <w:color w:val="FF0000"/>
          <w:kern w:val="0"/>
          <w:sz w:val="28"/>
          <w:szCs w:val="28"/>
          <w:lang w:val="en-US" w:eastAsia="zh-CN"/>
        </w:rPr>
        <w:t>报价时禁止变更报价明细顺序</w:t>
      </w:r>
      <w:r>
        <w:rPr>
          <w:rFonts w:hint="eastAsia" w:ascii="仿宋" w:hAnsi="仿宋" w:eastAsia="仿宋" w:cs="仿宋"/>
          <w:b/>
          <w:bCs/>
          <w:kern w:val="0"/>
          <w:sz w:val="28"/>
          <w:szCs w:val="28"/>
          <w:lang w:val="en-US" w:eastAsia="zh-CN"/>
        </w:rPr>
        <w:t>。</w:t>
      </w:r>
    </w:p>
    <w:p w14:paraId="18F11AE4">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3.6本次年度物资定价评标办法：</w:t>
      </w:r>
    </w:p>
    <w:p w14:paraId="086ABC51">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3.6.1常用物资按低价推荐成交供应商；</w:t>
      </w:r>
    </w:p>
    <w:p w14:paraId="7A84708B">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3.6.2特殊物资按性价比推荐成交供应商。</w:t>
      </w:r>
    </w:p>
    <w:p w14:paraId="0A530FBB">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3.7付款方式：</w:t>
      </w:r>
      <w:r>
        <w:rPr>
          <w:rFonts w:hint="eastAsia" w:ascii="仿宋" w:hAnsi="仿宋" w:eastAsia="仿宋" w:cs="仿宋"/>
          <w:b/>
          <w:bCs/>
          <w:kern w:val="0"/>
          <w:sz w:val="28"/>
          <w:szCs w:val="28"/>
          <w:lang w:val="en-US" w:eastAsia="zh-CN"/>
        </w:rPr>
        <w:t>现汇结算，</w:t>
      </w:r>
      <w:r>
        <w:rPr>
          <w:rFonts w:hint="eastAsia" w:ascii="仿宋" w:hAnsi="仿宋" w:eastAsia="仿宋" w:cs="仿宋"/>
          <w:b/>
          <w:bCs/>
          <w:kern w:val="0"/>
          <w:sz w:val="28"/>
          <w:szCs w:val="28"/>
          <w:highlight w:val="none"/>
          <w:lang w:val="en-US" w:eastAsia="zh-CN"/>
        </w:rPr>
        <w:t>货到开具发票挂账后不定期付款</w:t>
      </w:r>
      <w:r>
        <w:rPr>
          <w:rFonts w:hint="eastAsia" w:ascii="仿宋" w:hAnsi="仿宋" w:eastAsia="仿宋" w:cs="仿宋"/>
          <w:b/>
          <w:bCs/>
          <w:kern w:val="0"/>
          <w:sz w:val="28"/>
          <w:szCs w:val="28"/>
          <w:lang w:val="en-US" w:eastAsia="zh-CN"/>
        </w:rPr>
        <w:t>，如有偏离，请在响应文件中作偏离说明。</w:t>
      </w:r>
    </w:p>
    <w:p w14:paraId="5BD4CD95">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3.8谈判供应商严格按照采购方要求及国家有关标准进行制造。谈判供应商提供的设备、材料必须是全新的、完整的、并对其质量负</w:t>
      </w:r>
      <w:r>
        <w:rPr>
          <w:rFonts w:hint="eastAsia" w:ascii="仿宋" w:hAnsi="仿宋" w:eastAsia="仿宋" w:cs="仿宋"/>
          <w:sz w:val="28"/>
          <w:szCs w:val="28"/>
        </w:rPr>
        <w:t>责。谈判供应商不得擅自将</w:t>
      </w:r>
      <w:r>
        <w:rPr>
          <w:rFonts w:hint="eastAsia" w:ascii="仿宋" w:hAnsi="仿宋" w:eastAsia="仿宋" w:cs="仿宋"/>
          <w:sz w:val="28"/>
          <w:szCs w:val="28"/>
          <w:lang w:eastAsia="zh-CN"/>
        </w:rPr>
        <w:t>标的</w:t>
      </w:r>
      <w:r>
        <w:rPr>
          <w:rFonts w:hint="eastAsia" w:ascii="仿宋" w:hAnsi="仿宋" w:eastAsia="仿宋" w:cs="仿宋"/>
          <w:sz w:val="28"/>
          <w:szCs w:val="28"/>
        </w:rPr>
        <w:t>分包和转包。</w:t>
      </w:r>
    </w:p>
    <w:p w14:paraId="3EAFF0F3">
      <w:pPr>
        <w:pStyle w:val="8"/>
        <w:spacing w:line="560" w:lineRule="exact"/>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rPr>
        <w:t>3.9</w:t>
      </w:r>
      <w:r>
        <w:rPr>
          <w:rFonts w:hint="eastAsia" w:ascii="仿宋" w:hAnsi="仿宋" w:eastAsia="仿宋" w:cs="仿宋"/>
          <w:b/>
          <w:bCs/>
          <w:kern w:val="2"/>
          <w:sz w:val="28"/>
          <w:szCs w:val="28"/>
        </w:rPr>
        <w:t>谈判供应商应</w:t>
      </w:r>
      <w:r>
        <w:rPr>
          <w:rFonts w:hint="eastAsia" w:ascii="仿宋" w:hAnsi="仿宋" w:eastAsia="仿宋" w:cs="仿宋"/>
          <w:b/>
          <w:bCs/>
          <w:color w:val="000000"/>
          <w:sz w:val="28"/>
          <w:szCs w:val="28"/>
        </w:rPr>
        <w:t>具有较强的</w:t>
      </w:r>
      <w:r>
        <w:rPr>
          <w:rFonts w:hint="eastAsia" w:ascii="仿宋" w:hAnsi="仿宋" w:eastAsia="仿宋" w:cs="仿宋"/>
          <w:b/>
          <w:bCs/>
          <w:color w:val="000000"/>
          <w:sz w:val="28"/>
          <w:szCs w:val="28"/>
          <w:lang w:eastAsia="zh-CN"/>
        </w:rPr>
        <w:t>本地化</w:t>
      </w:r>
      <w:r>
        <w:rPr>
          <w:rFonts w:hint="eastAsia" w:ascii="仿宋" w:hAnsi="仿宋" w:eastAsia="仿宋" w:cs="仿宋"/>
          <w:b/>
          <w:bCs/>
          <w:color w:val="000000"/>
          <w:sz w:val="28"/>
          <w:szCs w:val="28"/>
        </w:rPr>
        <w:t>服务能力，谈判供应商应能够提供快速的售后服务</w:t>
      </w:r>
      <w:r>
        <w:rPr>
          <w:rFonts w:hint="eastAsia" w:ascii="仿宋" w:hAnsi="仿宋" w:eastAsia="仿宋" w:cs="仿宋"/>
          <w:b/>
          <w:bCs/>
          <w:kern w:val="2"/>
          <w:sz w:val="28"/>
          <w:szCs w:val="28"/>
        </w:rPr>
        <w:t>。</w:t>
      </w:r>
    </w:p>
    <w:p w14:paraId="60C4CB93">
      <w:pPr>
        <w:pStyle w:val="8"/>
        <w:spacing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3.10</w:t>
      </w:r>
      <w:r>
        <w:rPr>
          <w:rFonts w:hint="eastAsia" w:ascii="仿宋" w:hAnsi="仿宋" w:eastAsia="仿宋" w:cs="仿宋"/>
          <w:kern w:val="2"/>
          <w:sz w:val="28"/>
          <w:szCs w:val="28"/>
        </w:rPr>
        <w:t>采购人在使用谈判供应商提供的货物时，不存在任何已知的不合法的情形，也不存在任何已知的与第三方专利权、著作权、商标权或工业设计权相关的任何争议。如果有任何因采购人使用谈判供应商提供的货物而提起的侵权指控，谈判供应商依法承担全部责任。</w:t>
      </w:r>
    </w:p>
    <w:p w14:paraId="41F1B82B">
      <w:pPr>
        <w:keepNext w:val="0"/>
        <w:keepLines w:val="0"/>
        <w:pageBreakBefore w:val="0"/>
        <w:kinsoku/>
        <w:wordWrap/>
        <w:overflowPunct/>
        <w:topLinePunct w:val="0"/>
        <w:autoSpaceDE w:val="0"/>
        <w:autoSpaceDN w:val="0"/>
        <w:bidi w:val="0"/>
        <w:adjustRightInd w:val="0"/>
        <w:spacing w:line="360" w:lineRule="auto"/>
        <w:ind w:firstLine="568" w:firstLineChars="202"/>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lang w:val="zh-CN"/>
        </w:rPr>
        <w:t>.谈判文件发售办法：</w:t>
      </w:r>
    </w:p>
    <w:p w14:paraId="43E84149">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.1本项目实行网上报名，网上发售电子版谈判文件。凡有意参加投标者，请于</w:t>
      </w:r>
      <w:r>
        <w:rPr>
          <w:rFonts w:hint="eastAsia" w:ascii="仿宋" w:hAnsi="仿宋" w:eastAsia="仿宋" w:cs="仿宋"/>
          <w:b/>
          <w:bCs/>
          <w:kern w:val="0"/>
          <w:sz w:val="28"/>
          <w:szCs w:val="28"/>
          <w:highlight w:val="none"/>
          <w:u w:val="single"/>
          <w:lang w:eastAsia="zh-CN"/>
        </w:rPr>
        <w:t>2025年04月</w:t>
      </w:r>
      <w:r>
        <w:rPr>
          <w:rFonts w:hint="eastAsia" w:ascii="仿宋" w:hAnsi="仿宋" w:eastAsia="仿宋" w:cs="仿宋"/>
          <w:b/>
          <w:bCs/>
          <w:kern w:val="0"/>
          <w:sz w:val="28"/>
          <w:szCs w:val="28"/>
          <w:highlight w:val="none"/>
          <w:u w:val="single"/>
          <w:lang w:val="en-US" w:eastAsia="zh-CN"/>
        </w:rPr>
        <w:t>12</w:t>
      </w:r>
      <w:r>
        <w:rPr>
          <w:rFonts w:hint="eastAsia" w:ascii="仿宋" w:hAnsi="仿宋" w:eastAsia="仿宋" w:cs="仿宋"/>
          <w:b/>
          <w:bCs/>
          <w:kern w:val="0"/>
          <w:sz w:val="28"/>
          <w:szCs w:val="28"/>
          <w:highlight w:val="none"/>
          <w:u w:val="single"/>
          <w:lang w:eastAsia="zh-CN"/>
        </w:rPr>
        <w:t>日至2025年04月1</w:t>
      </w:r>
      <w:r>
        <w:rPr>
          <w:rFonts w:hint="eastAsia" w:ascii="仿宋" w:hAnsi="仿宋" w:eastAsia="仿宋" w:cs="仿宋"/>
          <w:b/>
          <w:bCs/>
          <w:kern w:val="0"/>
          <w:sz w:val="28"/>
          <w:szCs w:val="28"/>
          <w:highlight w:val="none"/>
          <w:u w:val="single"/>
          <w:lang w:val="en-US" w:eastAsia="zh-CN"/>
        </w:rPr>
        <w:t>7</w:t>
      </w:r>
      <w:r>
        <w:rPr>
          <w:rFonts w:hint="eastAsia" w:ascii="仿宋" w:hAnsi="仿宋" w:eastAsia="仿宋" w:cs="仿宋"/>
          <w:b/>
          <w:bCs/>
          <w:kern w:val="0"/>
          <w:sz w:val="28"/>
          <w:szCs w:val="28"/>
          <w:highlight w:val="none"/>
          <w:u w:val="single"/>
          <w:lang w:eastAsia="zh-CN"/>
        </w:rPr>
        <w:t>日</w:t>
      </w:r>
      <w:r>
        <w:rPr>
          <w:rFonts w:hint="eastAsia" w:ascii="仿宋" w:hAnsi="仿宋" w:eastAsia="仿宋" w:cs="仿宋"/>
          <w:kern w:val="0"/>
          <w:sz w:val="28"/>
          <w:szCs w:val="28"/>
        </w:rPr>
        <w:t>登录山钢集团阳光购销平台（http://bams.shansteelgroup.com/）,报名并购买下载电子版谈判文件。</w:t>
      </w:r>
    </w:p>
    <w:p w14:paraId="15F5B2F3">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.2 未注册供应商，请登录山钢集团阳光购销平台（http://bams.shansteelgroup.com/）,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必须先报名再交费）。</w:t>
      </w:r>
    </w:p>
    <w:p w14:paraId="1F63740E">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.3 谈判文</w:t>
      </w:r>
      <w:r>
        <w:rPr>
          <w:rFonts w:hint="eastAsia" w:ascii="仿宋" w:hAnsi="仿宋" w:eastAsia="仿宋" w:cs="仿宋"/>
          <w:kern w:val="0"/>
          <w:sz w:val="28"/>
          <w:szCs w:val="28"/>
          <w:highlight w:val="none"/>
        </w:rPr>
        <w:t>件</w:t>
      </w:r>
      <w:r>
        <w:rPr>
          <w:rFonts w:hint="eastAsia" w:ascii="仿宋" w:hAnsi="仿宋" w:eastAsia="仿宋" w:cs="仿宋"/>
          <w:sz w:val="28"/>
          <w:szCs w:val="28"/>
          <w:highlight w:val="none"/>
        </w:rPr>
        <w:t>每个标段100元</w:t>
      </w:r>
      <w:r>
        <w:rPr>
          <w:rFonts w:hint="eastAsia" w:ascii="仿宋" w:hAnsi="仿宋" w:eastAsia="仿宋" w:cs="仿宋"/>
          <w:kern w:val="0"/>
          <w:sz w:val="28"/>
          <w:szCs w:val="28"/>
        </w:rPr>
        <w:t>，售后不退；从谈判供应商基本账户电汇或转账到采购人账户，</w:t>
      </w:r>
      <w:r>
        <w:rPr>
          <w:rFonts w:hint="eastAsia" w:ascii="仿宋" w:hAnsi="仿宋" w:eastAsia="仿宋" w:cs="仿宋"/>
          <w:sz w:val="28"/>
          <w:szCs w:val="28"/>
        </w:rPr>
        <w:t>并在银行汇款或转账备注栏中注明投标</w:t>
      </w:r>
      <w:r>
        <w:rPr>
          <w:rFonts w:hint="eastAsia" w:ascii="仿宋" w:hAnsi="仿宋" w:eastAsia="仿宋" w:cs="仿宋"/>
          <w:b/>
          <w:bCs/>
          <w:color w:val="FF0000"/>
          <w:sz w:val="28"/>
          <w:szCs w:val="28"/>
        </w:rPr>
        <w:t>项目编号后四位及标段号</w:t>
      </w:r>
      <w:r>
        <w:rPr>
          <w:rFonts w:hint="eastAsia" w:ascii="仿宋" w:hAnsi="仿宋" w:eastAsia="仿宋" w:cs="仿宋"/>
          <w:b/>
          <w:bCs/>
          <w:color w:val="FF0000"/>
          <w:sz w:val="28"/>
          <w:szCs w:val="28"/>
          <w:highlight w:val="none"/>
        </w:rPr>
        <w:t>(如</w:t>
      </w:r>
      <w:r>
        <w:rPr>
          <w:rFonts w:hint="eastAsia" w:ascii="仿宋" w:hAnsi="仿宋" w:eastAsia="仿宋" w:cs="仿宋"/>
          <w:b/>
          <w:bCs/>
          <w:color w:val="FF0000"/>
          <w:sz w:val="28"/>
          <w:szCs w:val="28"/>
          <w:highlight w:val="none"/>
          <w:lang w:val="en-US" w:eastAsia="zh-CN"/>
        </w:rPr>
        <w:t xml:space="preserve">0116  </w:t>
      </w:r>
      <w:r>
        <w:rPr>
          <w:rFonts w:hint="eastAsia" w:ascii="仿宋" w:hAnsi="仿宋" w:eastAsia="仿宋" w:cs="仿宋"/>
          <w:b/>
          <w:bCs/>
          <w:color w:val="FF0000"/>
          <w:sz w:val="28"/>
          <w:szCs w:val="28"/>
          <w:highlight w:val="none"/>
        </w:rPr>
        <w:t>ACD)</w:t>
      </w:r>
      <w:r>
        <w:rPr>
          <w:rFonts w:hint="eastAsia" w:ascii="仿宋" w:hAnsi="仿宋" w:eastAsia="仿宋" w:cs="仿宋"/>
          <w:sz w:val="28"/>
          <w:szCs w:val="28"/>
        </w:rPr>
        <w:t>；非基本账户交款的，同时应注明谈判供应商名称，否则，采购人有权不予确认，由此引起的后果由潜在谈判供应商承担 。</w:t>
      </w:r>
    </w:p>
    <w:p w14:paraId="5C6FB6C8">
      <w:pPr>
        <w:keepNext w:val="0"/>
        <w:keepLines w:val="0"/>
        <w:pageBreakBefore w:val="0"/>
        <w:kinsoku/>
        <w:wordWrap/>
        <w:overflowPunct/>
        <w:topLinePunct w:val="0"/>
        <w:bidi w:val="0"/>
        <w:spacing w:line="360" w:lineRule="auto"/>
        <w:ind w:right="-6" w:firstLine="555"/>
        <w:textAlignment w:val="auto"/>
        <w:rPr>
          <w:rFonts w:hint="eastAsia" w:ascii="仿宋" w:hAnsi="仿宋" w:eastAsia="仿宋" w:cs="仿宋"/>
          <w:kern w:val="0"/>
          <w:sz w:val="28"/>
          <w:szCs w:val="28"/>
        </w:rPr>
      </w:pPr>
      <w:r>
        <w:rPr>
          <w:rFonts w:hint="eastAsia" w:ascii="仿宋" w:hAnsi="仿宋" w:eastAsia="仿宋" w:cs="仿宋"/>
          <w:kern w:val="0"/>
          <w:sz w:val="28"/>
          <w:szCs w:val="28"/>
        </w:rPr>
        <w:t>标书费不退还，谈判供应商交纳标书费后，采购人第二个工作日确认后,谈判供应商可直接用注册的账户和密码从网上下载谈判文件。</w:t>
      </w:r>
    </w:p>
    <w:p w14:paraId="465A40A3">
      <w:pPr>
        <w:keepNext w:val="0"/>
        <w:keepLines w:val="0"/>
        <w:pageBreakBefore w:val="0"/>
        <w:kinsoku/>
        <w:wordWrap/>
        <w:overflowPunct/>
        <w:topLinePunct w:val="0"/>
        <w:bidi w:val="0"/>
        <w:spacing w:line="360" w:lineRule="auto"/>
        <w:ind w:right="-6" w:firstLine="555"/>
        <w:textAlignment w:val="auto"/>
        <w:rPr>
          <w:rFonts w:hint="eastAsia" w:ascii="仿宋" w:hAnsi="仿宋" w:eastAsia="仿宋" w:cs="仿宋"/>
          <w:b/>
          <w:bCs/>
          <w:sz w:val="28"/>
          <w:szCs w:val="28"/>
        </w:rPr>
      </w:pPr>
      <w:r>
        <w:rPr>
          <w:rFonts w:hint="eastAsia" w:ascii="仿宋" w:hAnsi="仿宋" w:eastAsia="仿宋" w:cs="仿宋"/>
          <w:kern w:val="0"/>
          <w:sz w:val="28"/>
          <w:szCs w:val="28"/>
        </w:rPr>
        <w:t>标书费需要开发票的请将开票信息、发票类型、转账凭证发送至公司邮箱（jlkyzbb@163.com），</w:t>
      </w:r>
      <w:r>
        <w:rPr>
          <w:rFonts w:hint="eastAsia" w:ascii="仿宋" w:hAnsi="仿宋" w:eastAsia="仿宋" w:cs="仿宋"/>
          <w:b/>
          <w:bCs/>
          <w:kern w:val="0"/>
          <w:sz w:val="28"/>
          <w:szCs w:val="28"/>
        </w:rPr>
        <w:t>发票须在一个月内申请领取。非基本账户交款的只开收据。</w:t>
      </w:r>
    </w:p>
    <w:p w14:paraId="2CF008CD">
      <w:pPr>
        <w:keepNext w:val="0"/>
        <w:keepLines w:val="0"/>
        <w:pageBreakBefore w:val="0"/>
        <w:widowControl/>
        <w:kinsoku/>
        <w:wordWrap/>
        <w:overflowPunct/>
        <w:topLinePunct w:val="0"/>
        <w:bidi w:val="0"/>
        <w:spacing w:line="360" w:lineRule="auto"/>
        <w:ind w:left="525" w:leftChars="25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.4 采购人账户信息（标书费交款账户）</w:t>
      </w:r>
    </w:p>
    <w:p w14:paraId="44849013">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账户名：山东金岭矿业股份有限公司</w:t>
      </w:r>
    </w:p>
    <w:p w14:paraId="62B7909D">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开户银行：工行淄博高新</w:t>
      </w:r>
      <w:r>
        <w:rPr>
          <w:rFonts w:hint="eastAsia" w:ascii="仿宋" w:hAnsi="仿宋" w:eastAsia="仿宋" w:cs="仿宋"/>
          <w:kern w:val="0"/>
          <w:sz w:val="28"/>
          <w:szCs w:val="28"/>
          <w:lang w:val="en-US" w:eastAsia="zh-CN"/>
        </w:rPr>
        <w:t>支行营业室</w:t>
      </w:r>
    </w:p>
    <w:p w14:paraId="3C533457">
      <w:pPr>
        <w:keepNext w:val="0"/>
        <w:keepLines w:val="0"/>
        <w:pageBreakBefore w:val="0"/>
        <w:widowControl/>
        <w:kinsoku/>
        <w:wordWrap/>
        <w:overflowPunct/>
        <w:topLinePunct w:val="0"/>
        <w:bidi w:val="0"/>
        <w:spacing w:line="360" w:lineRule="auto"/>
        <w:ind w:left="525" w:leftChars="25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银行账号：1603065809201000694 </w:t>
      </w:r>
      <w:r>
        <w:rPr>
          <w:rFonts w:hint="eastAsia" w:ascii="仿宋" w:hAnsi="仿宋" w:eastAsia="仿宋" w:cs="仿宋"/>
          <w:b/>
          <w:sz w:val="28"/>
          <w:szCs w:val="28"/>
        </w:rPr>
        <w:t> </w:t>
      </w:r>
      <w:r>
        <w:rPr>
          <w:rFonts w:hint="eastAsia" w:ascii="仿宋" w:hAnsi="仿宋" w:eastAsia="仿宋" w:cs="仿宋"/>
          <w:sz w:val="28"/>
          <w:szCs w:val="28"/>
        </w:rPr>
        <w:t xml:space="preserve">   </w:t>
      </w:r>
    </w:p>
    <w:p w14:paraId="22F65847">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.5 本项目不接受未购买本谈判文件的谈判供应商投标。</w:t>
      </w:r>
    </w:p>
    <w:p w14:paraId="2E39C723">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5.</w:t>
      </w:r>
      <w:r>
        <w:rPr>
          <w:rFonts w:hint="eastAsia" w:ascii="仿宋" w:hAnsi="仿宋" w:eastAsia="仿宋" w:cs="仿宋"/>
          <w:b/>
          <w:color w:val="000000"/>
          <w:sz w:val="28"/>
          <w:szCs w:val="28"/>
          <w:lang w:val="zh-CN"/>
        </w:rPr>
        <w:t>响应文件的递交</w:t>
      </w:r>
    </w:p>
    <w:p w14:paraId="6175F9A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.1谈判响应文件递交截止时间（开标时间）、地点。</w:t>
      </w:r>
    </w:p>
    <w:p w14:paraId="30F0029B">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.1.1谈判响应文件递交截止时间(开标时间)：</w:t>
      </w:r>
    </w:p>
    <w:p w14:paraId="60558858">
      <w:pPr>
        <w:pStyle w:val="8"/>
        <w:spacing w:line="560" w:lineRule="exact"/>
        <w:ind w:firstLine="562" w:firstLineChars="200"/>
        <w:rPr>
          <w:rFonts w:hint="eastAsia" w:ascii="仿宋_GB2312" w:eastAsia="仿宋_GB2312"/>
          <w:b/>
          <w:bCs/>
          <w:kern w:val="2"/>
          <w:sz w:val="28"/>
          <w:szCs w:val="28"/>
          <w:lang w:val="en-US" w:eastAsia="zh-CN"/>
        </w:rPr>
      </w:pPr>
      <w:r>
        <w:rPr>
          <w:rFonts w:hint="eastAsia" w:ascii="仿宋_GB2312" w:eastAsia="仿宋_GB2312"/>
          <w:b/>
          <w:bCs/>
          <w:kern w:val="2"/>
          <w:sz w:val="28"/>
          <w:szCs w:val="28"/>
          <w:lang w:val="en-US" w:eastAsia="zh-CN"/>
        </w:rPr>
        <w:t>2025年4月28日13时30分开标</w:t>
      </w:r>
    </w:p>
    <w:p w14:paraId="274C1432">
      <w:pPr>
        <w:keepNext w:val="0"/>
        <w:keepLines w:val="0"/>
        <w:pageBreakBefore w:val="0"/>
        <w:kinsoku/>
        <w:wordWrap/>
        <w:overflowPunct/>
        <w:topLinePunct w:val="0"/>
        <w:bidi w:val="0"/>
        <w:spacing w:line="360" w:lineRule="auto"/>
        <w:ind w:firstLine="420"/>
        <w:textAlignment w:val="auto"/>
        <w:outlineLvl w:val="1"/>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.1.2开标地点: </w:t>
      </w:r>
      <w:r>
        <w:rPr>
          <w:rFonts w:hint="eastAsia" w:ascii="仿宋" w:hAnsi="仿宋" w:eastAsia="仿宋" w:cs="仿宋"/>
          <w:sz w:val="28"/>
          <w:szCs w:val="28"/>
          <w:lang w:eastAsia="zh-CN"/>
        </w:rPr>
        <w:t>山东金岭矿业股份有限公司</w:t>
      </w:r>
      <w:r>
        <w:rPr>
          <w:rFonts w:hint="eastAsia" w:ascii="仿宋" w:hAnsi="仿宋" w:eastAsia="仿宋" w:cs="仿宋"/>
          <w:sz w:val="28"/>
          <w:szCs w:val="28"/>
        </w:rPr>
        <w:t>职工之家三楼开标室。</w:t>
      </w:r>
    </w:p>
    <w:p w14:paraId="6025F3F4">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.2</w:t>
      </w:r>
      <w:r>
        <w:rPr>
          <w:rFonts w:hint="eastAsia" w:ascii="仿宋" w:hAnsi="仿宋" w:eastAsia="仿宋" w:cs="仿宋"/>
          <w:kern w:val="0"/>
          <w:sz w:val="28"/>
          <w:szCs w:val="28"/>
        </w:rPr>
        <w:t>谈判供应商</w:t>
      </w:r>
      <w:r>
        <w:rPr>
          <w:rFonts w:hint="eastAsia" w:ascii="仿宋" w:hAnsi="仿宋" w:eastAsia="仿宋" w:cs="仿宋"/>
          <w:sz w:val="28"/>
          <w:szCs w:val="28"/>
        </w:rPr>
        <w:t>递交响应文件应按照谈判文件的要求进行。</w:t>
      </w:r>
    </w:p>
    <w:p w14:paraId="10E071A9">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.3逾期送达的、未送达指定地点的或者不按照谈判文件要求密封的响应文件，采购人将予以拒收。</w:t>
      </w:r>
    </w:p>
    <w:p w14:paraId="2957AAA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b/>
          <w:sz w:val="28"/>
          <w:szCs w:val="28"/>
          <w:highlight w:val="none"/>
        </w:rPr>
      </w:pPr>
      <w:r>
        <w:rPr>
          <w:rFonts w:hint="eastAsia" w:ascii="仿宋" w:hAnsi="仿宋" w:eastAsia="仿宋" w:cs="仿宋"/>
          <w:sz w:val="28"/>
          <w:szCs w:val="28"/>
          <w:lang w:val="en-US" w:eastAsia="zh-CN"/>
        </w:rPr>
        <w:t>5</w:t>
      </w:r>
      <w:r>
        <w:rPr>
          <w:rFonts w:hint="eastAsia" w:ascii="仿宋" w:hAnsi="仿宋" w:eastAsia="仿宋" w:cs="仿宋"/>
          <w:sz w:val="28"/>
          <w:szCs w:val="28"/>
        </w:rPr>
        <w:t>.4</w:t>
      </w:r>
      <w:r>
        <w:rPr>
          <w:rFonts w:hint="eastAsia" w:ascii="仿宋" w:hAnsi="仿宋" w:eastAsia="仿宋" w:cs="仿宋"/>
          <w:b/>
          <w:sz w:val="28"/>
          <w:szCs w:val="28"/>
        </w:rPr>
        <w:t>本项目采用</w:t>
      </w:r>
      <w:r>
        <w:rPr>
          <w:rFonts w:hint="eastAsia" w:ascii="仿宋" w:hAnsi="仿宋" w:eastAsia="仿宋" w:cs="仿宋"/>
          <w:b/>
          <w:sz w:val="28"/>
          <w:szCs w:val="28"/>
          <w:highlight w:val="none"/>
        </w:rPr>
        <w:t>电话谈判方式,</w:t>
      </w:r>
      <w:r>
        <w:rPr>
          <w:rFonts w:hint="eastAsia" w:ascii="仿宋" w:hAnsi="仿宋" w:eastAsia="仿宋" w:cs="仿宋"/>
          <w:b/>
          <w:kern w:val="0"/>
          <w:sz w:val="28"/>
          <w:szCs w:val="28"/>
          <w:highlight w:val="none"/>
        </w:rPr>
        <w:t>谈判供应商</w:t>
      </w:r>
      <w:r>
        <w:rPr>
          <w:rFonts w:hint="eastAsia" w:ascii="仿宋" w:hAnsi="仿宋" w:eastAsia="仿宋" w:cs="仿宋"/>
          <w:b/>
          <w:sz w:val="28"/>
          <w:szCs w:val="28"/>
          <w:highlight w:val="none"/>
        </w:rPr>
        <w:t>不参加现场开标活动,需在开标时间段保持电话畅通。</w:t>
      </w:r>
    </w:p>
    <w:p w14:paraId="54433B5B">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.4.1</w:t>
      </w:r>
      <w:r>
        <w:rPr>
          <w:rFonts w:hint="eastAsia" w:ascii="仿宋" w:hAnsi="仿宋" w:eastAsia="仿宋" w:cs="仿宋"/>
          <w:b/>
          <w:bCs/>
          <w:sz w:val="28"/>
          <w:szCs w:val="28"/>
        </w:rPr>
        <w:t>谈判响应文件通过邮寄快递的方式送达</w:t>
      </w:r>
      <w:r>
        <w:rPr>
          <w:rFonts w:hint="eastAsia" w:ascii="仿宋" w:hAnsi="仿宋" w:eastAsia="仿宋" w:cs="仿宋"/>
          <w:sz w:val="28"/>
          <w:szCs w:val="28"/>
        </w:rPr>
        <w:t>，谈判响应文件</w:t>
      </w:r>
      <w:r>
        <w:rPr>
          <w:rFonts w:hint="eastAsia" w:ascii="仿宋" w:hAnsi="仿宋" w:eastAsia="仿宋" w:cs="仿宋"/>
          <w:sz w:val="28"/>
          <w:szCs w:val="28"/>
          <w:highlight w:val="none"/>
        </w:rPr>
        <w:t>及U盘</w:t>
      </w:r>
      <w:r>
        <w:rPr>
          <w:rFonts w:hint="eastAsia" w:ascii="仿宋" w:hAnsi="仿宋" w:eastAsia="仿宋" w:cs="仿宋"/>
          <w:sz w:val="28"/>
          <w:szCs w:val="28"/>
        </w:rPr>
        <w:t>必须在谈判响应文件递交截止时间前送达到山东省淄博市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山东金岭矿业股份有限公司招标办。招标办工作人员签收邮寄包裹的时间即为谈判供应商谈判响应文件的送达时间，逾期送达的谈判响应文件无效，后果由谈判供应商自行承担。接收邮寄快递包裹的时间为工作日上午8: 00~12: 00，下午13: 00~17:00，谈判供应商应对自己的谈判响应文件的快递包封和密封性负责，如送达的快递包裹出现破损导致谈判响应文件密封性包封破损的，后果由谈判供应商自行承担。</w:t>
      </w:r>
    </w:p>
    <w:p w14:paraId="19CF0B65">
      <w:pPr>
        <w:keepNext w:val="0"/>
        <w:keepLines w:val="0"/>
        <w:pageBreakBefore w:val="0"/>
        <w:kinsoku/>
        <w:wordWrap/>
        <w:overflowPunct/>
        <w:topLinePunct w:val="0"/>
        <w:bidi w:val="0"/>
        <w:spacing w:line="360" w:lineRule="auto"/>
        <w:ind w:firstLine="420"/>
        <w:textAlignment w:val="auto"/>
        <w:rPr>
          <w:rFonts w:hint="eastAsia" w:ascii="黑体" w:hAnsi="黑体" w:eastAsia="黑体" w:cs="黑体"/>
          <w:sz w:val="32"/>
          <w:szCs w:val="32"/>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.4.2谈判供应商应充分预留谈判响应文件邮寄、送达所需要的时间。</w:t>
      </w:r>
      <w:r>
        <w:rPr>
          <w:rFonts w:hint="eastAsia" w:ascii="黑体" w:hAnsi="黑体" w:eastAsia="黑体" w:cs="黑体"/>
          <w:b/>
          <w:bCs/>
          <w:color w:val="FF0000"/>
          <w:sz w:val="32"/>
          <w:szCs w:val="32"/>
        </w:rPr>
        <w:t>包裹</w:t>
      </w:r>
      <w:r>
        <w:rPr>
          <w:rFonts w:hint="eastAsia" w:ascii="黑体" w:hAnsi="黑体" w:eastAsia="黑体" w:cs="黑体"/>
          <w:b/>
          <w:bCs/>
          <w:color w:val="FF0000"/>
          <w:sz w:val="32"/>
          <w:szCs w:val="32"/>
          <w:lang w:eastAsia="zh-CN"/>
        </w:rPr>
        <w:t>邮寄请选用顺丰速递</w:t>
      </w:r>
      <w:r>
        <w:rPr>
          <w:rFonts w:hint="eastAsia" w:ascii="黑体" w:hAnsi="黑体" w:eastAsia="黑体" w:cs="黑体"/>
          <w:sz w:val="32"/>
          <w:szCs w:val="32"/>
          <w:lang w:eastAsia="zh-CN"/>
        </w:rPr>
        <w:t>。</w:t>
      </w:r>
    </w:p>
    <w:p w14:paraId="756674D1">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.4.3谈判供应商在按照谈判文件的要求装订、密封好谈判响应文件后，应使用不透明、防水的邮寄袋(或箱)再次包裹已密封好的谈判响应文件，并在</w:t>
      </w:r>
      <w:r>
        <w:rPr>
          <w:rFonts w:hint="eastAsia" w:ascii="仿宋" w:hAnsi="仿宋" w:eastAsia="仿宋" w:cs="仿宋"/>
          <w:b/>
          <w:bCs/>
          <w:color w:val="FF0000"/>
          <w:sz w:val="28"/>
          <w:szCs w:val="28"/>
        </w:rPr>
        <w:t>邮寄袋(或箱)上注明项目名称、项目编号、谈判供应商名称</w:t>
      </w:r>
      <w:r>
        <w:rPr>
          <w:rFonts w:hint="eastAsia" w:ascii="仿宋" w:hAnsi="仿宋" w:eastAsia="仿宋" w:cs="仿宋"/>
          <w:sz w:val="28"/>
          <w:szCs w:val="28"/>
        </w:rPr>
        <w:t>等信息（方式不限），工作人员将依据此信息将邮寄袋(或箱)提交该项目的开标、谈判环节。如采购人收到的邮寄包裹未按上述要求进行标识，造成无法将谈判响应文件提交至该项目开标、谈判环节的，由此产生的后果由谈判供应商自行承担。</w:t>
      </w:r>
    </w:p>
    <w:p w14:paraId="285DDD39">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b/>
          <w:bCs/>
          <w:i w:val="0"/>
          <w:iCs w:val="0"/>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.4.4</w:t>
      </w:r>
      <w:r>
        <w:rPr>
          <w:rFonts w:hint="eastAsia" w:ascii="仿宋" w:hAnsi="仿宋" w:eastAsia="仿宋" w:cs="仿宋"/>
          <w:b/>
          <w:bCs/>
          <w:i w:val="0"/>
          <w:iCs w:val="0"/>
          <w:sz w:val="28"/>
          <w:szCs w:val="28"/>
        </w:rPr>
        <w:t>谈判响应文件邮寄地址</w:t>
      </w:r>
    </w:p>
    <w:p w14:paraId="23CC7687">
      <w:pPr>
        <w:keepNext w:val="0"/>
        <w:keepLines w:val="0"/>
        <w:pageBreakBefore w:val="0"/>
        <w:kinsoku/>
        <w:wordWrap/>
        <w:overflowPunct/>
        <w:topLinePunct w:val="0"/>
        <w:bidi w:val="0"/>
        <w:spacing w:line="360" w:lineRule="auto"/>
        <w:textAlignment w:val="auto"/>
        <w:rPr>
          <w:rFonts w:hint="eastAsia" w:ascii="仿宋" w:hAnsi="仿宋" w:eastAsia="仿宋" w:cs="仿宋"/>
          <w:sz w:val="28"/>
          <w:szCs w:val="28"/>
        </w:rPr>
      </w:pPr>
      <w:r>
        <w:rPr>
          <w:rFonts w:hint="eastAsia" w:ascii="仿宋" w:hAnsi="仿宋" w:eastAsia="仿宋" w:cs="仿宋"/>
          <w:b/>
          <w:bCs/>
          <w:i w:val="0"/>
          <w:iCs w:val="0"/>
          <w:sz w:val="28"/>
          <w:szCs w:val="28"/>
        </w:rPr>
        <w:t xml:space="preserve"> </w:t>
      </w:r>
      <w:r>
        <w:rPr>
          <w:rFonts w:hint="eastAsia" w:ascii="仿宋" w:hAnsi="仿宋" w:eastAsia="仿宋" w:cs="仿宋"/>
          <w:b w:val="0"/>
          <w:bCs w:val="0"/>
          <w:i w:val="0"/>
          <w:iCs w:val="0"/>
          <w:sz w:val="28"/>
          <w:szCs w:val="28"/>
          <w:lang w:val="en-US" w:eastAsia="zh-CN"/>
        </w:rPr>
        <w:t xml:space="preserve">  地址：</w:t>
      </w:r>
      <w:r>
        <w:rPr>
          <w:rFonts w:hint="eastAsia" w:ascii="仿宋" w:hAnsi="仿宋" w:eastAsia="仿宋" w:cs="仿宋"/>
          <w:sz w:val="28"/>
          <w:szCs w:val="28"/>
        </w:rPr>
        <w:t>山东省淄博市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中埠镇山东金岭矿业股份有限公司</w:t>
      </w:r>
    </w:p>
    <w:p w14:paraId="3A751CE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收件人:招标办</w:t>
      </w:r>
    </w:p>
    <w:p w14:paraId="7EA3BDAE">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联系电话: 0533-3088212</w:t>
      </w:r>
    </w:p>
    <w:p w14:paraId="57EB10B4">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bCs/>
          <w:sz w:val="28"/>
          <w:szCs w:val="28"/>
        </w:rPr>
      </w:pPr>
      <w:bookmarkStart w:id="0" w:name="_Toc392227734"/>
      <w:bookmarkStart w:id="1" w:name="_Toc20031"/>
      <w:bookmarkStart w:id="2" w:name="_Toc3041"/>
      <w:r>
        <w:rPr>
          <w:rFonts w:hint="eastAsia" w:ascii="仿宋" w:hAnsi="仿宋" w:eastAsia="仿宋" w:cs="仿宋"/>
          <w:b/>
          <w:bCs/>
          <w:sz w:val="28"/>
          <w:szCs w:val="28"/>
          <w:lang w:val="en-US" w:eastAsia="zh-CN"/>
        </w:rPr>
        <w:t>6.</w:t>
      </w:r>
      <w:r>
        <w:rPr>
          <w:rFonts w:hint="eastAsia" w:ascii="仿宋" w:hAnsi="仿宋" w:eastAsia="仿宋" w:cs="仿宋"/>
          <w:b/>
          <w:bCs/>
          <w:sz w:val="28"/>
          <w:szCs w:val="28"/>
        </w:rPr>
        <w:t>发布公告的媒介</w:t>
      </w:r>
      <w:bookmarkEnd w:id="0"/>
      <w:bookmarkEnd w:id="1"/>
      <w:bookmarkEnd w:id="2"/>
    </w:p>
    <w:p w14:paraId="0BFCAF5A">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本项目谈判公告在“</w:t>
      </w:r>
      <w:r>
        <w:rPr>
          <w:rFonts w:hint="eastAsia" w:ascii="仿宋" w:hAnsi="仿宋" w:eastAsia="仿宋" w:cs="仿宋"/>
          <w:kern w:val="0"/>
          <w:sz w:val="28"/>
          <w:szCs w:val="28"/>
        </w:rPr>
        <w:t>山钢集团阳光购销平台（http://bams.shansteelgroup.com/）</w:t>
      </w:r>
      <w:r>
        <w:rPr>
          <w:rFonts w:hint="eastAsia" w:ascii="仿宋" w:hAnsi="仿宋" w:eastAsia="仿宋" w:cs="仿宋"/>
          <w:sz w:val="28"/>
          <w:szCs w:val="28"/>
        </w:rPr>
        <w:t>”发布。谈判公告将明确对谈判供应商的资格要求、发售谈判文件的日期和方式、投标、开标等事宜。</w:t>
      </w:r>
    </w:p>
    <w:p w14:paraId="08CAC2B5">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bCs/>
          <w:sz w:val="28"/>
          <w:szCs w:val="28"/>
        </w:rPr>
      </w:pPr>
      <w:bookmarkStart w:id="3" w:name="_Toc27956"/>
      <w:bookmarkStart w:id="4" w:name="_Toc12142"/>
      <w:r>
        <w:rPr>
          <w:rFonts w:hint="eastAsia" w:ascii="仿宋" w:hAnsi="仿宋" w:eastAsia="仿宋" w:cs="仿宋"/>
          <w:b/>
          <w:bCs/>
          <w:sz w:val="28"/>
          <w:szCs w:val="28"/>
          <w:lang w:val="en-US" w:eastAsia="zh-CN"/>
        </w:rPr>
        <w:t>7.</w:t>
      </w:r>
      <w:r>
        <w:rPr>
          <w:rFonts w:hint="eastAsia" w:ascii="仿宋" w:hAnsi="仿宋" w:eastAsia="仿宋" w:cs="仿宋"/>
          <w:b/>
          <w:bCs/>
          <w:sz w:val="28"/>
          <w:szCs w:val="28"/>
        </w:rPr>
        <w:t>联系方式</w:t>
      </w:r>
      <w:bookmarkEnd w:id="3"/>
      <w:bookmarkEnd w:id="4"/>
    </w:p>
    <w:p w14:paraId="2C2FB5C2">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联系地址：淄博市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w:t>
      </w:r>
    </w:p>
    <w:p w14:paraId="4B75119B">
      <w:pPr>
        <w:pStyle w:val="2"/>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电子邮箱: jlkyzbb@163.com</w:t>
      </w:r>
    </w:p>
    <w:p w14:paraId="434F6066">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咨询时间： 工作日  上午：8:30-11:45      下午：13:30-16:45</w:t>
      </w:r>
    </w:p>
    <w:tbl>
      <w:tblPr>
        <w:tblStyle w:val="6"/>
        <w:tblpPr w:leftFromText="180" w:rightFromText="180" w:vertAnchor="text" w:horzAnchor="margin" w:tblpXSpec="center" w:tblpY="210"/>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54"/>
        <w:gridCol w:w="3209"/>
        <w:gridCol w:w="2977"/>
      </w:tblGrid>
      <w:tr w14:paraId="7AA0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30B7AD12">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1454" w:type="dxa"/>
            <w:vAlign w:val="center"/>
          </w:tcPr>
          <w:p w14:paraId="3DDBBE1E">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业务</w:t>
            </w:r>
          </w:p>
        </w:tc>
        <w:tc>
          <w:tcPr>
            <w:tcW w:w="3209" w:type="dxa"/>
            <w:vAlign w:val="center"/>
          </w:tcPr>
          <w:p w14:paraId="048F082E">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联系人</w:t>
            </w:r>
          </w:p>
        </w:tc>
        <w:tc>
          <w:tcPr>
            <w:tcW w:w="2977" w:type="dxa"/>
            <w:vAlign w:val="center"/>
          </w:tcPr>
          <w:p w14:paraId="6B9184B3">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联系方式</w:t>
            </w:r>
          </w:p>
        </w:tc>
      </w:tr>
      <w:tr w14:paraId="59EF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699D0C6B">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454" w:type="dxa"/>
            <w:vAlign w:val="center"/>
          </w:tcPr>
          <w:p w14:paraId="6EC7C7D5">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投标咨询</w:t>
            </w:r>
          </w:p>
        </w:tc>
        <w:tc>
          <w:tcPr>
            <w:tcW w:w="3209" w:type="dxa"/>
            <w:vAlign w:val="center"/>
          </w:tcPr>
          <w:p w14:paraId="4E8BF7B5">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王先生/</w:t>
            </w:r>
            <w:r>
              <w:rPr>
                <w:rFonts w:hint="eastAsia" w:ascii="仿宋" w:hAnsi="仿宋" w:eastAsia="仿宋" w:cs="仿宋"/>
                <w:sz w:val="28"/>
                <w:szCs w:val="28"/>
                <w:lang w:eastAsia="zh-CN"/>
              </w:rPr>
              <w:t>宫</w:t>
            </w:r>
            <w:r>
              <w:rPr>
                <w:rFonts w:hint="eastAsia" w:ascii="仿宋" w:hAnsi="仿宋" w:eastAsia="仿宋" w:cs="仿宋"/>
                <w:sz w:val="28"/>
                <w:szCs w:val="28"/>
              </w:rPr>
              <w:t>先生</w:t>
            </w:r>
          </w:p>
        </w:tc>
        <w:tc>
          <w:tcPr>
            <w:tcW w:w="2977" w:type="dxa"/>
            <w:vAlign w:val="center"/>
          </w:tcPr>
          <w:p w14:paraId="65200930">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0533-3088212</w:t>
            </w:r>
          </w:p>
          <w:p w14:paraId="0DF438AC">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0533-3089963</w:t>
            </w:r>
          </w:p>
        </w:tc>
      </w:tr>
      <w:tr w14:paraId="49D5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4E1934AE">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454" w:type="dxa"/>
            <w:vAlign w:val="center"/>
          </w:tcPr>
          <w:p w14:paraId="7D514176">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商务咨询</w:t>
            </w:r>
          </w:p>
        </w:tc>
        <w:tc>
          <w:tcPr>
            <w:tcW w:w="3209" w:type="dxa"/>
            <w:vAlign w:val="center"/>
          </w:tcPr>
          <w:p w14:paraId="46D37071">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p>
        </w:tc>
        <w:tc>
          <w:tcPr>
            <w:tcW w:w="2977" w:type="dxa"/>
            <w:vAlign w:val="center"/>
          </w:tcPr>
          <w:p w14:paraId="6FE76008">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0533-3089341</w:t>
            </w:r>
          </w:p>
          <w:p w14:paraId="6B5F8EEC">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0533-3089336</w:t>
            </w:r>
          </w:p>
          <w:p w14:paraId="34B7D2C8">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0533-3088011</w:t>
            </w:r>
          </w:p>
          <w:p w14:paraId="210D80AE">
            <w:pPr>
              <w:pStyle w:val="2"/>
              <w:rPr>
                <w:rFonts w:hint="default" w:eastAsia="仿宋"/>
                <w:lang w:val="en-US" w:eastAsia="zh-CN"/>
              </w:rPr>
            </w:pPr>
            <w:r>
              <w:rPr>
                <w:rFonts w:hint="eastAsia" w:ascii="仿宋" w:hAnsi="仿宋" w:eastAsia="仿宋" w:cs="仿宋"/>
                <w:kern w:val="0"/>
                <w:sz w:val="28"/>
                <w:szCs w:val="28"/>
                <w:lang w:val="en-US" w:eastAsia="zh-CN"/>
              </w:rPr>
              <w:t xml:space="preserve">    0533-3081526</w:t>
            </w:r>
          </w:p>
        </w:tc>
      </w:tr>
      <w:tr w14:paraId="4538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10258DB2">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1454" w:type="dxa"/>
            <w:vAlign w:val="center"/>
          </w:tcPr>
          <w:p w14:paraId="0463A919">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监督</w:t>
            </w:r>
          </w:p>
        </w:tc>
        <w:tc>
          <w:tcPr>
            <w:tcW w:w="3209" w:type="dxa"/>
            <w:vAlign w:val="center"/>
          </w:tcPr>
          <w:p w14:paraId="7881535C">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p>
        </w:tc>
        <w:tc>
          <w:tcPr>
            <w:tcW w:w="2977" w:type="dxa"/>
            <w:vAlign w:val="center"/>
          </w:tcPr>
          <w:p w14:paraId="18674278">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0533-3089311</w:t>
            </w:r>
          </w:p>
        </w:tc>
      </w:tr>
    </w:tbl>
    <w:p w14:paraId="3CC408CD">
      <w:pPr>
        <w:keepNext w:val="0"/>
        <w:keepLines w:val="0"/>
        <w:pageBreakBefore w:val="0"/>
        <w:kinsoku/>
        <w:wordWrap/>
        <w:overflowPunct/>
        <w:topLinePunct w:val="0"/>
        <w:bidi w:val="0"/>
        <w:spacing w:line="360" w:lineRule="auto"/>
        <w:textAlignment w:val="auto"/>
        <w:rPr>
          <w:rFonts w:hint="eastAsia" w:ascii="仿宋" w:hAnsi="仿宋" w:eastAsia="仿宋" w:cs="仿宋"/>
          <w:sz w:val="28"/>
          <w:szCs w:val="28"/>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DA5NGFjYzBjZDk2OTBmMTBjYzA5MGRhMTI4ODMifQ=="/>
  </w:docVars>
  <w:rsids>
    <w:rsidRoot w:val="53F65F4B"/>
    <w:rsid w:val="01585E82"/>
    <w:rsid w:val="02794F69"/>
    <w:rsid w:val="04804601"/>
    <w:rsid w:val="07651D73"/>
    <w:rsid w:val="08FE0EF5"/>
    <w:rsid w:val="0AD421BF"/>
    <w:rsid w:val="0B433D44"/>
    <w:rsid w:val="0E736EE7"/>
    <w:rsid w:val="11717326"/>
    <w:rsid w:val="139A06ED"/>
    <w:rsid w:val="13CD1806"/>
    <w:rsid w:val="14612D96"/>
    <w:rsid w:val="17151ACE"/>
    <w:rsid w:val="182F4CF8"/>
    <w:rsid w:val="18E91711"/>
    <w:rsid w:val="1F73393F"/>
    <w:rsid w:val="28126CFC"/>
    <w:rsid w:val="2E6604FE"/>
    <w:rsid w:val="34165481"/>
    <w:rsid w:val="34581B70"/>
    <w:rsid w:val="35722DFD"/>
    <w:rsid w:val="36AA7F02"/>
    <w:rsid w:val="39F01A68"/>
    <w:rsid w:val="3AB86F93"/>
    <w:rsid w:val="3B2D16D3"/>
    <w:rsid w:val="40236474"/>
    <w:rsid w:val="43893AE5"/>
    <w:rsid w:val="46217083"/>
    <w:rsid w:val="463A2DF8"/>
    <w:rsid w:val="46526508"/>
    <w:rsid w:val="47695FA7"/>
    <w:rsid w:val="4DFF2E39"/>
    <w:rsid w:val="4F304A82"/>
    <w:rsid w:val="501C001D"/>
    <w:rsid w:val="51ED5B97"/>
    <w:rsid w:val="52591C70"/>
    <w:rsid w:val="53636258"/>
    <w:rsid w:val="53A2155A"/>
    <w:rsid w:val="53F65F4B"/>
    <w:rsid w:val="559E3D3C"/>
    <w:rsid w:val="59CE2587"/>
    <w:rsid w:val="5A4E3EC3"/>
    <w:rsid w:val="5C8268E6"/>
    <w:rsid w:val="5CE56B8B"/>
    <w:rsid w:val="5E30364B"/>
    <w:rsid w:val="5F745BC5"/>
    <w:rsid w:val="6096183C"/>
    <w:rsid w:val="61F56BD7"/>
    <w:rsid w:val="63214807"/>
    <w:rsid w:val="67A4589B"/>
    <w:rsid w:val="6D3960B8"/>
    <w:rsid w:val="6F375DD4"/>
    <w:rsid w:val="71716998"/>
    <w:rsid w:val="74A1712C"/>
    <w:rsid w:val="75DD510F"/>
    <w:rsid w:val="76D4095D"/>
    <w:rsid w:val="7D144297"/>
    <w:rsid w:val="7D441ED6"/>
    <w:rsid w:val="7E3A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Arial"/>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spacing w:line="240" w:lineRule="auto"/>
    </w:pPr>
    <w:rPr>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2dc38bc-c28d-41a8-b195-c85d61f322f9}">
  <ds:schemaRefs/>
</ds:datastoreItem>
</file>

<file path=customXml/itemProps2.xml><?xml version="1.0" encoding="utf-8"?>
<ds:datastoreItem xmlns:ds="http://schemas.openxmlformats.org/officeDocument/2006/customXml" ds:itemID="{19fba437-af24-4829-ab4b-568eb2951b81}">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2741</Words>
  <Characters>3172</Characters>
  <Lines>0</Lines>
  <Paragraphs>0</Paragraphs>
  <TotalTime>0</TotalTime>
  <ScaleCrop>false</ScaleCrop>
  <LinksUpToDate>false</LinksUpToDate>
  <CharactersWithSpaces>3239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2022-04-07T02:29:00Z</dcterms:created>
  <dc:creator>lenovo</dc:creator>
  <cp:lastModifiedBy>王亚峰</cp:lastModifiedBy>
  <dcterms:modified xsi:type="dcterms:W3CDTF">2025-04-11T03:00:19Z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3031DB1B282E4D24B59B58526DC53622_13</vt:lpwstr>
  </property>
  <property fmtid="{D5CDD505-2E9C-101B-9397-08002B2CF9AE}" pid="4" name="KSOTemplateDocerSaveRecord">
    <vt:lpwstr>eyJoZGlkIjoiNzNhMGRhMDc2NjZiM2JlOGViZjE0NjUyNjg1MTE0NzgiLCJ1c2VySWQiOiIxNjkwOTMzOTI5In0=</vt:lpwstr>
  </property>
</Properties>
</file>