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滑轨组件、镜头光纤等20250421</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滑轨组件、镜头光纤等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0293</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滑轨组件、镜头光纤等20250421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715A3"/>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2025-04-22T06:31:46Z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