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5841">
      <w:pPr>
        <w:pStyle w:val="2"/>
        <w:spacing w:before="200" w:after="200" w:line="579" w:lineRule="auto"/>
        <w:jc w:val="center"/>
        <w:rPr>
          <w:rFonts w:hint="eastAsia" w:ascii="方正小标宋简体" w:hAnsi="方正小标宋简体" w:eastAsia="方正小标宋简体" w:cs="方正小标宋简体"/>
          <w:bCs w:val="0"/>
          <w:szCs w:val="20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b w:val="0"/>
          <w:bCs/>
          <w:lang w:val="zh-CN"/>
        </w:rPr>
        <w:t>竞争性谈判公告</w:t>
      </w:r>
    </w:p>
    <w:bookmarkEnd w:id="5"/>
    <w:p w14:paraId="6928106C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1.采购条件</w:t>
      </w:r>
    </w:p>
    <w:p w14:paraId="4A9E402C">
      <w:pPr>
        <w:pStyle w:val="4"/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体育馆停车场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及篮球场地大修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项目,采购人为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山东金岭矿业股份有限公司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，建设资金来自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企业自筹</w:t>
      </w:r>
      <w:r>
        <w:rPr>
          <w:rFonts w:hint="eastAsia" w:ascii="仿宋_GB2312" w:hAnsi="仿宋_GB2312" w:eastAsia="仿宋_GB2312" w:cs="仿宋_GB2312"/>
          <w:sz w:val="28"/>
          <w:szCs w:val="28"/>
        </w:rPr>
        <w:t>，出资比例为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100%</w:t>
      </w:r>
      <w:r>
        <w:rPr>
          <w:rFonts w:hint="eastAsia" w:ascii="仿宋_GB2312" w:hAnsi="仿宋_GB2312" w:eastAsia="仿宋_GB2312" w:cs="仿宋_GB2312"/>
          <w:sz w:val="28"/>
          <w:szCs w:val="28"/>
        </w:rPr>
        <w:t>。该项目已具备采购条件，现对该项目进行竞争性谈判采购。</w:t>
      </w:r>
    </w:p>
    <w:p w14:paraId="4F31B0F4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2.项目概况与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采购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内容</w:t>
      </w:r>
    </w:p>
    <w:p w14:paraId="24255E06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项目概况：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体育馆停车场改造项目位于山东省淄博市张店区中埠镇，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该项目包括①改造体育馆前广场面积约3335平方米，改建完成后至少提供车位66个，停车位尺寸不低于2.8m*5.5m；绿化面积不低于总面积的10%，不高于15%。②增设单桩双枪充电桩2座（快充）。③对体育馆南侧约2500㎡篮球场地进行提升改造，东侧停车场至少提供车位29个，西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塑胶场地内设篮球场一处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原篮球架翻新防腐刷漆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，羽毛球场地两处（含相关设施），四周留设步道3条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43A4AB2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主要采购内容：</w:t>
      </w:r>
    </w:p>
    <w:p w14:paraId="51A1E326">
      <w:pPr>
        <w:adjustRightInd w:val="0"/>
        <w:snapToGrid w:val="0"/>
        <w:spacing w:line="360" w:lineRule="auto"/>
        <w:ind w:firstLine="565" w:firstLineChars="202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1.体育馆广场地面改造：拆除硬化地面，垃圾外运；场地硬化（含平整场地、现场找坡、素土夯实，C20砼硬化地面厚度不小于150mm、铺沥青砼厚度不小于50mm、停车位划线等）；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绿化面积不低于总面积的10%，不高于15%；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停车场道路两侧安装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天然石材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路缘石；修复水沟（含预留雨水箅）；体育馆主入口、南仓库入口及场地两侧台阶整修；主入口处原地砖破损严重，拆除后重新铺贴防滑地砖；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原毛石墙体局部找补，勾缝；排水方式由投标单位根据现场情况自行考虑；体育馆散水嵌缝修复（沥青胶泥嵌缝）；体育馆落水管底部增设成品水簸箕等。</w:t>
      </w:r>
    </w:p>
    <w:p w14:paraId="3563918E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2.设施增设：①在体育馆广场南侧增设单桩双枪充电桩2座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（快充，带充值或扫码付费功能）。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②高差较大处增设不锈钢栏杆（体育馆广场与职工之家、中心路等）；台阶两侧增设扶手（篮球场地与体育馆广场台阶处）等。</w:t>
      </w:r>
    </w:p>
    <w:p w14:paraId="55DB8D7E">
      <w:pPr>
        <w:adjustRightInd w:val="0"/>
        <w:snapToGrid w:val="0"/>
        <w:spacing w:line="360" w:lineRule="auto"/>
        <w:ind w:firstLine="565" w:firstLineChars="202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3.篮球场地升级：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拆除篮球架1组（两个），采购人回收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；东侧停车场（面积约840㎡）入口处地面硬化，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部分路牙石拆安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；原硅PU篮球场地清理原硅PU层，面积约600㎡；原沥青砼场地铣刨（约2500㎡），沥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青表面反射裂缝贴抗裂贴处理，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场地重新铺沥青石屑找平（约2500㎡，响应供应商根据现场标高确定排水方式及坡度，保证场地不积水）；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西侧活动场地铺设塑胶面层（约1660㎡），符合GB 36246-2018相关要求。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塑胶场地内设篮球场一处，羽毛球场地两处，四周留设步道3条；塑胶跑道与停车场之间安装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天然石材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路缘石将场地分隔开；更换原有破损路缘石，松动路缘石重新安装，工程量现场踏勘时自行考虑；篮球场地南侧、西侧墙面拆除破损及松动面层、清理面层并局部找补，刷外墙乳胶漆两道，面积约420㎡，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增设宣传标语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（具体标语内容按照采购人要求绘制）。</w:t>
      </w:r>
    </w:p>
    <w:p w14:paraId="21EA11EF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4.响应供应商需完善采购人的初步方案，出具方案设计及具体的施工内容。</w:t>
      </w:r>
    </w:p>
    <w:p w14:paraId="423D890D">
      <w:pPr>
        <w:adjustRightInd w:val="0"/>
        <w:snapToGrid w:val="0"/>
        <w:spacing w:line="360" w:lineRule="auto"/>
        <w:ind w:firstLine="565" w:firstLineChars="202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5.为减轻公司总部停车压力，本项目分阶段施工，体育馆停车场先施工。待体育馆停车场施工完毕且验收合格后，再进行篮球场升级改造。施工单位应做好不同阶段停车区域的引导与管理工作，确保施工秩序与车辆停放安全。</w:t>
      </w:r>
    </w:p>
    <w:p w14:paraId="11F46334">
      <w:pPr>
        <w:adjustRightInd w:val="0"/>
        <w:snapToGrid w:val="0"/>
        <w:spacing w:line="360" w:lineRule="auto"/>
        <w:ind w:firstLine="568" w:firstLineChars="202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计划工期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日历日。</w:t>
      </w:r>
    </w:p>
    <w:p w14:paraId="1A07A75C">
      <w:pPr>
        <w:adjustRightInd w:val="0"/>
        <w:snapToGrid w:val="0"/>
        <w:spacing w:line="360" w:lineRule="auto"/>
        <w:ind w:firstLine="568" w:firstLineChars="202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3.谈判供应商资格要求（谈判响应供应商不符合以下条件的，资格审查将被否决，不再进入下一阶段的评审）：</w:t>
      </w:r>
    </w:p>
    <w:p w14:paraId="6F846AFA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3.1在中华人民共和国注册并具有独立法人资格。</w:t>
      </w:r>
    </w:p>
    <w:p w14:paraId="0C33119F">
      <w:pPr>
        <w:adjustRightInd w:val="0"/>
        <w:snapToGrid w:val="0"/>
        <w:spacing w:line="360" w:lineRule="auto"/>
        <w:ind w:firstLine="565" w:firstLineChars="202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3.2资质要求：谈判供应商须具备建筑工程施工总承包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或市政公用工程施工总承包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级（含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贰级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）以上资质；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须提供安全生产许可证。</w:t>
      </w:r>
    </w:p>
    <w:p w14:paraId="35A9AD0F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3.3项目经理资格：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项目经理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备建筑工程或市政公用工程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专业建造师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执业资格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证书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及有效的安全生产考核合格证书（B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证）。</w:t>
      </w:r>
    </w:p>
    <w:p w14:paraId="1ADA7F9D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业绩要求：谈判供应商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须提供类似工程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业绩（以20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年1月至今的合同为准，合同至少要包括：合同双方主体的基本信息页，尤其是数量一定要显示、合同约定工作内容页、合同签字页等）。</w:t>
      </w:r>
    </w:p>
    <w:p w14:paraId="32672CD8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谈判供应商未被“信用中国”网站列入失信被执行人、重大税收违法失信主体（须提供网络截图并加盖公司公章）。</w:t>
      </w:r>
    </w:p>
    <w:p w14:paraId="7B50A983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谈判供应商财务状况良好，没有处于财产被没收、接管、破产或其他关、停、并、转的状态（须提供近三年（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2021/2022/2023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或（2022/2023/2024）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财务审计报告）；如近期成立的企业提供成立至今的财务审计报告。</w:t>
      </w:r>
    </w:p>
    <w:p w14:paraId="6599FAF6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本项目不接受联合体投标。</w:t>
      </w:r>
    </w:p>
    <w:p w14:paraId="576A27BA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4.谈判文件发售办法：</w:t>
      </w:r>
    </w:p>
    <w:p w14:paraId="747DB018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4.1 本项目实行网上报名，网上发售电子版谈判文件。凡有意参加投标者，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请于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登录山钢集团阳光购销平台（http://bams.shansteelgroup.com/）,报名并购买下载电子版谈判文件。</w:t>
      </w:r>
    </w:p>
    <w:p w14:paraId="37435F47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4.2 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490971A0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4.3 谈判文件售价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300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元，售后不退；图纸资料押金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0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元，在退还图纸资料时退还（不计利息）。从谈判供应商基本账户电汇或转账到采购人账户，并在银行汇款或转账备注栏中注明项目编号(后四位)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 w14:paraId="1FA3DC16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标书费只开具收据不退还，谈判供应商交纳标书费后，采购人第二个工作日确认后,谈判供应商可直接用注册的账户和密码从网上下载谈判文件。</w:t>
      </w:r>
    </w:p>
    <w:p w14:paraId="16C5CEE4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4.4 采购人账户信息</w:t>
      </w:r>
    </w:p>
    <w:p w14:paraId="726EFD48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账 户 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single"/>
          <w:lang w:eastAsia="zh-CN"/>
        </w:rPr>
        <w:t>山东金岭矿业股份有限公司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 xml:space="preserve"> </w:t>
      </w:r>
    </w:p>
    <w:p w14:paraId="02613CDC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银行账号：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single"/>
        </w:rPr>
        <w:t>1603065809201000694</w:t>
      </w:r>
    </w:p>
    <w:p w14:paraId="23A4BF05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red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开户银行：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single"/>
        </w:rPr>
        <w:t>中国工商银行淄博高新支行</w:t>
      </w:r>
    </w:p>
    <w:p w14:paraId="11FEC7C2">
      <w:pPr>
        <w:spacing w:line="360" w:lineRule="auto"/>
        <w:ind w:firstLine="42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4.5 本项目不接受未购买本谈判文件的谈判供应商投标。</w:t>
      </w:r>
    </w:p>
    <w:p w14:paraId="06FA36A7">
      <w:pPr>
        <w:spacing w:line="360" w:lineRule="auto"/>
        <w:ind w:firstLine="422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五、响应文件的递交</w:t>
      </w:r>
    </w:p>
    <w:p w14:paraId="0B3E947B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5.1谈判响应文件递交截止时间（开标时间）、地点。</w:t>
      </w:r>
    </w:p>
    <w:p w14:paraId="29EFFE1B"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5.1.1谈判响应文件递交截止时间(开标时间)：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13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</w:p>
    <w:p w14:paraId="19F8ACD2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5.1.2开标地点: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山东金岭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矿业股份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职工之家三楼开标室。</w:t>
      </w:r>
    </w:p>
    <w:p w14:paraId="122D611B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5.2谈判供应商递交响应文件应按照谈判文件的要求进行。</w:t>
      </w:r>
    </w:p>
    <w:p w14:paraId="5411935D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5.3逾期送达的、未送达指定地点的或者不按照谈判文件要求密封的响应文件，采购人将予以拒收。</w:t>
      </w:r>
    </w:p>
    <w:p w14:paraId="370E3248">
      <w:pPr>
        <w:pStyle w:val="6"/>
        <w:ind w:left="0" w:leftChars="0"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5.4本项目采用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现场谈判方式,谈判供应商参加现场开标活动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6306469">
      <w:pPr>
        <w:spacing w:line="360" w:lineRule="auto"/>
        <w:ind w:firstLine="42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3041"/>
      <w:bookmarkStart w:id="1" w:name="_Toc20031"/>
      <w:bookmarkStart w:id="2" w:name="_Toc39222773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六、发布公告的媒介</w:t>
      </w:r>
      <w:bookmarkEnd w:id="0"/>
      <w:bookmarkEnd w:id="1"/>
      <w:bookmarkEnd w:id="2"/>
    </w:p>
    <w:p w14:paraId="6355A41F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本项目谈判公告在“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山钢集团阳光购销平台（http://bams.shansteelgroup.com/）</w:t>
      </w:r>
      <w:r>
        <w:rPr>
          <w:rFonts w:hint="eastAsia" w:ascii="仿宋_GB2312" w:hAnsi="仿宋_GB2312" w:eastAsia="仿宋_GB2312" w:cs="仿宋_GB2312"/>
          <w:sz w:val="28"/>
          <w:szCs w:val="28"/>
        </w:rPr>
        <w:t>”发布。谈判公告将明确对谈判供应商的资格要求、发售谈判文件的日期和方式、投标、开标等事宜。</w:t>
      </w:r>
    </w:p>
    <w:p w14:paraId="29EBCD5C">
      <w:pPr>
        <w:spacing w:line="360" w:lineRule="auto"/>
        <w:ind w:firstLine="42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3" w:name="_Toc27956"/>
      <w:bookmarkStart w:id="4" w:name="_Toc1214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七、联系方式</w:t>
      </w:r>
      <w:bookmarkEnd w:id="3"/>
      <w:bookmarkEnd w:id="4"/>
    </w:p>
    <w:p w14:paraId="0FBF594D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联系地址：淄博市张店区中埠镇铁鹰路29号。</w:t>
      </w:r>
    </w:p>
    <w:p w14:paraId="637610F5">
      <w:pPr>
        <w:pStyle w:val="4"/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电子邮箱: jlkyzbb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</w:rPr>
        <w:t>163.com</w:t>
      </w:r>
    </w:p>
    <w:p w14:paraId="05F7A145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咨询时间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工作日  上午：8:30-11:45      下午：13:30-16:45</w:t>
      </w:r>
    </w:p>
    <w:tbl>
      <w:tblPr>
        <w:tblStyle w:val="7"/>
        <w:tblpPr w:leftFromText="180" w:rightFromText="180" w:vertAnchor="text" w:horzAnchor="margin" w:tblpXSpec="center" w:tblpY="210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11"/>
        <w:gridCol w:w="2325"/>
        <w:gridCol w:w="3477"/>
      </w:tblGrid>
      <w:tr w14:paraId="0BA6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Align w:val="center"/>
          </w:tcPr>
          <w:p w14:paraId="7FAADA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11" w:type="dxa"/>
            <w:vAlign w:val="center"/>
          </w:tcPr>
          <w:p w14:paraId="7FCF0571">
            <w:pPr>
              <w:spacing w:line="440" w:lineRule="exact"/>
              <w:ind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</w:t>
            </w:r>
          </w:p>
        </w:tc>
        <w:tc>
          <w:tcPr>
            <w:tcW w:w="2325" w:type="dxa"/>
            <w:vAlign w:val="center"/>
          </w:tcPr>
          <w:p w14:paraId="23B03C8B">
            <w:pPr>
              <w:spacing w:line="440" w:lineRule="exact"/>
              <w:ind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477" w:type="dxa"/>
            <w:vAlign w:val="center"/>
          </w:tcPr>
          <w:p w14:paraId="2936144A">
            <w:pPr>
              <w:spacing w:line="440" w:lineRule="exact"/>
              <w:ind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 w14:paraId="73D8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236632AD">
            <w:pPr>
              <w:spacing w:line="440" w:lineRule="exact"/>
              <w:ind w:left="8" w:leftChars="-12" w:hanging="33" w:hangingChars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11" w:type="dxa"/>
            <w:vAlign w:val="center"/>
          </w:tcPr>
          <w:p w14:paraId="259AFAFE">
            <w:pPr>
              <w:spacing w:line="44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投标咨询</w:t>
            </w:r>
          </w:p>
        </w:tc>
        <w:tc>
          <w:tcPr>
            <w:tcW w:w="2325" w:type="dxa"/>
            <w:vAlign w:val="center"/>
          </w:tcPr>
          <w:p w14:paraId="34574425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王先生/宫先生</w:t>
            </w:r>
          </w:p>
        </w:tc>
        <w:tc>
          <w:tcPr>
            <w:tcW w:w="3477" w:type="dxa"/>
            <w:vAlign w:val="center"/>
          </w:tcPr>
          <w:p w14:paraId="0162F96F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0533-3088212/3089963</w:t>
            </w:r>
          </w:p>
        </w:tc>
      </w:tr>
      <w:tr w14:paraId="3634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5BAC0B92">
            <w:pPr>
              <w:spacing w:line="440" w:lineRule="exact"/>
              <w:ind w:left="8" w:leftChars="-12" w:hanging="33" w:hangingChars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11" w:type="dxa"/>
            <w:vAlign w:val="center"/>
          </w:tcPr>
          <w:p w14:paraId="36D4A7DF">
            <w:pPr>
              <w:spacing w:line="44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商务咨询</w:t>
            </w:r>
          </w:p>
        </w:tc>
        <w:tc>
          <w:tcPr>
            <w:tcW w:w="2325" w:type="dxa"/>
            <w:vAlign w:val="center"/>
          </w:tcPr>
          <w:p w14:paraId="0853AD62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赵女士</w:t>
            </w:r>
          </w:p>
        </w:tc>
        <w:tc>
          <w:tcPr>
            <w:tcW w:w="3477" w:type="dxa"/>
            <w:vAlign w:val="center"/>
          </w:tcPr>
          <w:p w14:paraId="4E6618D4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0533-3089992</w:t>
            </w:r>
          </w:p>
        </w:tc>
      </w:tr>
      <w:tr w14:paraId="4051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1331EBD1">
            <w:pPr>
              <w:spacing w:line="440" w:lineRule="exact"/>
              <w:ind w:left="8" w:leftChars="-12" w:hanging="33" w:hangingChars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11" w:type="dxa"/>
            <w:vAlign w:val="center"/>
          </w:tcPr>
          <w:p w14:paraId="1FE1C377">
            <w:pPr>
              <w:spacing w:line="44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技术咨询</w:t>
            </w:r>
          </w:p>
        </w:tc>
        <w:tc>
          <w:tcPr>
            <w:tcW w:w="2325" w:type="dxa"/>
            <w:vAlign w:val="center"/>
          </w:tcPr>
          <w:p w14:paraId="427532FB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张先生</w:t>
            </w:r>
          </w:p>
        </w:tc>
        <w:tc>
          <w:tcPr>
            <w:tcW w:w="3477" w:type="dxa"/>
            <w:vAlign w:val="center"/>
          </w:tcPr>
          <w:p w14:paraId="4CDD861B">
            <w:pPr>
              <w:spacing w:line="440" w:lineRule="exact"/>
              <w:ind w:left="-2" w:leftChars="-1" w:firstLine="44" w:firstLineChars="1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9992</w:t>
            </w:r>
          </w:p>
        </w:tc>
      </w:tr>
      <w:tr w14:paraId="60A4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9" w:type="dxa"/>
            <w:vAlign w:val="center"/>
          </w:tcPr>
          <w:p w14:paraId="4999E70E">
            <w:pPr>
              <w:spacing w:line="440" w:lineRule="exact"/>
              <w:ind w:left="8" w:leftChars="-12" w:hanging="33" w:hangingChars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11" w:type="dxa"/>
            <w:vAlign w:val="center"/>
          </w:tcPr>
          <w:p w14:paraId="702CC793">
            <w:pPr>
              <w:spacing w:line="44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</w:t>
            </w:r>
          </w:p>
        </w:tc>
        <w:tc>
          <w:tcPr>
            <w:tcW w:w="2325" w:type="dxa"/>
            <w:vAlign w:val="center"/>
          </w:tcPr>
          <w:p w14:paraId="3248CE7D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7" w:type="dxa"/>
            <w:vAlign w:val="center"/>
          </w:tcPr>
          <w:p w14:paraId="7635FF8C">
            <w:pPr>
              <w:spacing w:line="440" w:lineRule="exact"/>
              <w:ind w:left="-2" w:leftChars="-1" w:firstLine="44" w:firstLineChars="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0533-3089311</w:t>
            </w:r>
          </w:p>
        </w:tc>
      </w:tr>
    </w:tbl>
    <w:p w14:paraId="44D8C1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3F289A-E187-4875-BE94-E2F1D5CE7CF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47D8759-222D-4655-B9AD-084B9B3A6B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B30EB2-F79C-47E3-B18E-E17C387D7E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E66FA"/>
    <w:rsid w:val="230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5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6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2025-04-27T09:23:00Z</dcterms:created>
  <dc:creator>董朕</dc:creator>
  <cp:lastModifiedBy>董朕</cp:lastModifiedBy>
  <dcterms:modified xsi:type="dcterms:W3CDTF">2025-04-27T09:24:44Z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E4DDABC4A97A4424B74CDB8183D57CF4_11</vt:lpwstr>
  </property>
  <property fmtid="{D5CDD505-2E9C-101B-9397-08002B2CF9AE}" pid="4" name="KSOTemplateDocerSaveRecord">
    <vt:lpwstr>eyJoZGlkIjoiMmJkNzAzNTMyMDlmOTg2ODZjMzgyM2JhMzQxZWRjN2MiLCJ1c2VySWQiOiIxNjkwOTMzOTY1In0=</vt:lpwstr>
  </property>
</Properties>
</file>