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0B9606">
      <w:pPr>
        <w:spacing w:line="580" w:lineRule="exact"/>
        <w:ind w:left="2692" w:hanging="3278" w:hangingChars="745"/>
        <w:jc w:val="center"/>
        <w:rPr>
          <w:rFonts w:hint="eastAsia" w:ascii="方正小标宋简体" w:hAnsi="方正小标宋简体" w:eastAsia="方正小标宋简体" w:cs="方正小标宋简体"/>
          <w:b w:val="0"/>
          <w:bCs w:val="0"/>
          <w:sz w:val="44"/>
          <w:szCs w:val="44"/>
        </w:rPr>
      </w:pPr>
      <w:bookmarkStart w:id="0" w:name="_Hlk42883393"/>
      <w:bookmarkStart w:id="1" w:name="_Hlk42883373"/>
      <w:r>
        <w:rPr>
          <w:rFonts w:hint="eastAsia" w:ascii="方正小标宋简体" w:hAnsi="方正小标宋简体" w:eastAsia="方正小标宋简体" w:cs="方正小标宋简体"/>
          <w:b w:val="0"/>
          <w:bCs w:val="0"/>
          <w:sz w:val="44"/>
          <w:szCs w:val="44"/>
        </w:rPr>
        <w:t>山东钢铁股份有限公司</w:t>
      </w:r>
    </w:p>
    <w:p w14:paraId="12DEA4C9">
      <w:pPr>
        <w:spacing w:line="580" w:lineRule="exact"/>
        <w:ind w:left="2692" w:hanging="3278" w:hangingChars="745"/>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大宗原燃料</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港口进口矿）</w:t>
      </w:r>
      <w:r>
        <w:rPr>
          <w:rFonts w:hint="eastAsia" w:ascii="方正小标宋简体" w:hAnsi="方正小标宋简体" w:eastAsia="方正小标宋简体" w:cs="方正小标宋简体"/>
          <w:b w:val="0"/>
          <w:bCs w:val="0"/>
          <w:sz w:val="44"/>
          <w:szCs w:val="44"/>
        </w:rPr>
        <w:t>汽车运输项目</w:t>
      </w:r>
      <w:bookmarkEnd w:id="0"/>
    </w:p>
    <w:p w14:paraId="61867269">
      <w:pPr>
        <w:spacing w:line="580" w:lineRule="exact"/>
        <w:ind w:left="2692" w:hanging="3278" w:hangingChars="745"/>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招标</w:t>
      </w:r>
      <w:bookmarkEnd w:id="1"/>
      <w:r>
        <w:rPr>
          <w:rFonts w:hint="eastAsia" w:ascii="方正小标宋简体" w:hAnsi="方正小标宋简体" w:eastAsia="方正小标宋简体" w:cs="方正小标宋简体"/>
          <w:b w:val="0"/>
          <w:bCs w:val="0"/>
          <w:sz w:val="44"/>
          <w:szCs w:val="44"/>
        </w:rPr>
        <w:t>文件</w:t>
      </w:r>
    </w:p>
    <w:p w14:paraId="4157C60B">
      <w:pPr>
        <w:spacing w:beforeLines="50" w:afterLines="50"/>
        <w:rPr>
          <w:rFonts w:hint="eastAsia" w:ascii="仿宋_GB2312" w:hAnsi="仿宋_GB2312" w:eastAsia="仿宋_GB2312" w:cs="仿宋_GB2312"/>
          <w:b w:val="0"/>
          <w:bCs w:val="0"/>
          <w:sz w:val="32"/>
          <w:szCs w:val="32"/>
        </w:rPr>
      </w:pPr>
    </w:p>
    <w:p w14:paraId="23F7600F">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sz w:val="32"/>
          <w:szCs w:val="32"/>
        </w:rPr>
      </w:pPr>
      <w:r>
        <w:rPr>
          <w:rFonts w:hint="eastAsia" w:ascii="黑体" w:hAnsi="黑体" w:eastAsia="黑体" w:cs="宋体"/>
          <w:sz w:val="32"/>
          <w:szCs w:val="32"/>
        </w:rPr>
        <w:t>致潜在投标人：</w:t>
      </w:r>
    </w:p>
    <w:p w14:paraId="3F7D33EA">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现拟就山东钢铁股份有限公司大宗原燃料</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港口进口矿）</w:t>
      </w:r>
      <w:r>
        <w:rPr>
          <w:rFonts w:hint="eastAsia" w:ascii="仿宋_GB2312" w:hAnsi="宋体" w:eastAsia="仿宋_GB2312"/>
          <w:sz w:val="32"/>
          <w:szCs w:val="32"/>
        </w:rPr>
        <w:t>汽车运输项目招标公告如下，欢迎符合条件的潜在投标人参加本次招标。</w:t>
      </w:r>
    </w:p>
    <w:p w14:paraId="5630C3B1">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黑体" w:hAnsi="黑体" w:eastAsia="黑体" w:cs="宋体"/>
          <w:bCs/>
          <w:sz w:val="32"/>
          <w:szCs w:val="32"/>
        </w:rPr>
      </w:pPr>
      <w:r>
        <w:rPr>
          <w:rFonts w:hint="eastAsia" w:ascii="黑体" w:hAnsi="黑体" w:eastAsia="黑体" w:cs="宋体"/>
          <w:sz w:val="32"/>
          <w:szCs w:val="32"/>
        </w:rPr>
        <w:t>一、</w:t>
      </w:r>
      <w:r>
        <w:rPr>
          <w:rFonts w:hint="eastAsia" w:ascii="黑体" w:hAnsi="黑体" w:eastAsia="黑体" w:cs="宋体"/>
          <w:bCs/>
          <w:sz w:val="32"/>
          <w:szCs w:val="32"/>
        </w:rPr>
        <w:t>招标人</w:t>
      </w:r>
    </w:p>
    <w:p w14:paraId="5638064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sz w:val="32"/>
          <w:szCs w:val="32"/>
        </w:rPr>
      </w:pPr>
      <w:r>
        <w:rPr>
          <w:rFonts w:hint="eastAsia" w:ascii="楷体" w:hAnsi="楷体" w:eastAsia="楷体" w:cs="宋体"/>
          <w:bCs/>
          <w:kern w:val="0"/>
          <w:sz w:val="32"/>
          <w:szCs w:val="32"/>
        </w:rPr>
        <w:t>单位名称：</w:t>
      </w:r>
      <w:r>
        <w:rPr>
          <w:rFonts w:hint="eastAsia" w:ascii="仿宋_GB2312" w:hAnsi="宋体" w:eastAsia="仿宋_GB2312"/>
          <w:sz w:val="32"/>
          <w:szCs w:val="32"/>
        </w:rPr>
        <w:t>山东钢铁股份有限公司</w:t>
      </w:r>
    </w:p>
    <w:p w14:paraId="0F76390E">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黑体" w:hAnsi="黑体" w:eastAsia="黑体" w:cs="宋体"/>
          <w:sz w:val="32"/>
          <w:szCs w:val="32"/>
        </w:rPr>
      </w:pPr>
      <w:r>
        <w:rPr>
          <w:rFonts w:hint="eastAsia" w:ascii="黑体" w:hAnsi="黑体" w:eastAsia="黑体" w:cs="宋体"/>
          <w:sz w:val="32"/>
          <w:szCs w:val="32"/>
        </w:rPr>
        <w:t>项目说明</w:t>
      </w:r>
    </w:p>
    <w:p w14:paraId="08B328FD">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仿宋_GB2312" w:hAnsi="宋体" w:eastAsia="仿宋_GB2312"/>
          <w:sz w:val="32"/>
          <w:szCs w:val="32"/>
        </w:rPr>
      </w:pPr>
      <w:r>
        <w:rPr>
          <w:rFonts w:hint="eastAsia" w:ascii="楷体_GB2312" w:hAnsi="黑体" w:eastAsia="楷体_GB2312"/>
          <w:sz w:val="32"/>
          <w:szCs w:val="32"/>
        </w:rPr>
        <w:t>1</w:t>
      </w:r>
      <w:r>
        <w:rPr>
          <w:rFonts w:hint="eastAsia" w:ascii="楷体_GB2312" w:hAnsi="黑体" w:eastAsia="楷体_GB2312"/>
          <w:sz w:val="32"/>
          <w:szCs w:val="32"/>
          <w:lang w:eastAsia="zh-CN"/>
        </w:rPr>
        <w:t>.</w:t>
      </w:r>
      <w:r>
        <w:rPr>
          <w:rFonts w:hint="eastAsia" w:ascii="楷体_GB2312" w:hAnsi="黑体" w:eastAsia="楷体_GB2312"/>
          <w:sz w:val="32"/>
          <w:szCs w:val="32"/>
        </w:rPr>
        <w:t>招标名称：</w:t>
      </w:r>
      <w:r>
        <w:rPr>
          <w:rFonts w:hint="eastAsia" w:ascii="仿宋_GB2312" w:hAnsi="宋体" w:eastAsia="仿宋_GB2312"/>
          <w:sz w:val="32"/>
          <w:szCs w:val="32"/>
        </w:rPr>
        <w:t>大宗原燃料</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港口进口矿）</w:t>
      </w:r>
      <w:r>
        <w:rPr>
          <w:rFonts w:hint="eastAsia" w:ascii="仿宋_GB2312" w:hAnsi="宋体" w:eastAsia="仿宋_GB2312"/>
          <w:sz w:val="32"/>
          <w:szCs w:val="32"/>
        </w:rPr>
        <w:t>汽车运输业务</w:t>
      </w:r>
    </w:p>
    <w:p w14:paraId="79B66D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黑体" w:eastAsia="楷体_GB2312"/>
          <w:sz w:val="32"/>
          <w:szCs w:val="32"/>
        </w:rPr>
      </w:pPr>
      <w:r>
        <w:rPr>
          <w:rFonts w:hint="eastAsia" w:ascii="楷体_GB2312" w:hAnsi="黑体" w:eastAsia="楷体_GB2312"/>
          <w:sz w:val="32"/>
          <w:szCs w:val="32"/>
          <w:lang w:val="en-US" w:eastAsia="zh-CN"/>
        </w:rPr>
        <w:t>2</w:t>
      </w:r>
      <w:r>
        <w:rPr>
          <w:rFonts w:hint="eastAsia" w:ascii="楷体_GB2312" w:hAnsi="黑体" w:eastAsia="楷体_GB2312"/>
          <w:sz w:val="32"/>
          <w:szCs w:val="32"/>
          <w:lang w:eastAsia="zh-CN"/>
        </w:rPr>
        <w:t>.</w:t>
      </w:r>
      <w:r>
        <w:rPr>
          <w:rFonts w:hint="eastAsia" w:ascii="楷体_GB2312" w:hAnsi="黑体" w:eastAsia="楷体_GB2312"/>
          <w:sz w:val="32"/>
          <w:szCs w:val="32"/>
        </w:rPr>
        <w:t>招标内容</w:t>
      </w:r>
      <w:r>
        <w:rPr>
          <w:rFonts w:hint="eastAsia" w:ascii="楷体_GB2312" w:hAnsi="黑体" w:eastAsia="楷体_GB2312"/>
          <w:sz w:val="32"/>
          <w:szCs w:val="32"/>
          <w:lang w:val="en-US" w:eastAsia="zh-CN"/>
        </w:rPr>
        <w:t>及数量</w:t>
      </w:r>
      <w:r>
        <w:rPr>
          <w:rFonts w:hint="eastAsia" w:ascii="楷体_GB2312" w:hAnsi="黑体" w:eastAsia="楷体_GB2312"/>
          <w:sz w:val="32"/>
          <w:szCs w:val="32"/>
        </w:rPr>
        <w:t>：</w:t>
      </w:r>
      <w:r>
        <w:rPr>
          <w:rFonts w:hint="eastAsia" w:ascii="仿宋_GB2312" w:hAnsi="宋体" w:eastAsia="仿宋_GB2312"/>
          <w:sz w:val="32"/>
          <w:szCs w:val="32"/>
        </w:rPr>
        <w:t>具体数量根据招标人进口矿汽车运输计划确定，以实际发生量为准。</w:t>
      </w:r>
    </w:p>
    <w:tbl>
      <w:tblPr>
        <w:tblStyle w:val="9"/>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5702"/>
        <w:gridCol w:w="1553"/>
      </w:tblGrid>
      <w:tr w14:paraId="4EF2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48" w:type="pct"/>
            <w:vAlign w:val="center"/>
          </w:tcPr>
          <w:p w14:paraId="7C95CFCC">
            <w:pPr>
              <w:tabs>
                <w:tab w:val="left" w:pos="1275"/>
              </w:tabs>
              <w:jc w:val="center"/>
              <w:rPr>
                <w:rFonts w:ascii="仿宋_GB2312" w:eastAsia="仿宋_GB2312"/>
                <w:sz w:val="24"/>
              </w:rPr>
            </w:pPr>
            <w:r>
              <w:rPr>
                <w:rFonts w:hint="eastAsia" w:ascii="仿宋_GB2312" w:hAnsi="宋体" w:eastAsia="仿宋_GB2312" w:cs="Times New Roman"/>
                <w:kern w:val="0"/>
                <w:sz w:val="32"/>
                <w:szCs w:val="32"/>
              </w:rPr>
              <w:t>发货地点</w:t>
            </w:r>
          </w:p>
        </w:tc>
        <w:tc>
          <w:tcPr>
            <w:tcW w:w="3184" w:type="pct"/>
            <w:vAlign w:val="center"/>
          </w:tcPr>
          <w:p w14:paraId="478F2389">
            <w:pPr>
              <w:tabs>
                <w:tab w:val="left" w:pos="1275"/>
              </w:tabs>
              <w:jc w:val="center"/>
              <w:rPr>
                <w:rFonts w:ascii="仿宋_GB2312" w:eastAsia="仿宋_GB2312"/>
                <w:sz w:val="24"/>
              </w:rPr>
            </w:pPr>
            <w:r>
              <w:rPr>
                <w:rFonts w:hint="eastAsia" w:ascii="仿宋_GB2312" w:hAnsi="宋体" w:eastAsia="仿宋_GB2312" w:cs="Times New Roman"/>
                <w:kern w:val="0"/>
                <w:sz w:val="32"/>
                <w:szCs w:val="32"/>
              </w:rPr>
              <w:t>收货地点</w:t>
            </w:r>
          </w:p>
        </w:tc>
        <w:tc>
          <w:tcPr>
            <w:tcW w:w="867" w:type="pct"/>
            <w:vAlign w:val="center"/>
          </w:tcPr>
          <w:p w14:paraId="0E681323">
            <w:pPr>
              <w:tabs>
                <w:tab w:val="left" w:pos="1275"/>
              </w:tabs>
              <w:jc w:val="center"/>
              <w:rPr>
                <w:rFonts w:hint="default" w:ascii="仿宋_GB2312" w:eastAsia="仿宋_GB2312"/>
                <w:sz w:val="24"/>
                <w:lang w:val="en-US" w:eastAsia="zh-CN"/>
              </w:rPr>
            </w:pPr>
            <w:r>
              <w:rPr>
                <w:rFonts w:hint="eastAsia" w:ascii="仿宋_GB2312" w:hAnsi="宋体" w:eastAsia="仿宋_GB2312" w:cs="Times New Roman"/>
                <w:kern w:val="0"/>
                <w:sz w:val="32"/>
                <w:szCs w:val="32"/>
                <w:lang w:val="en-US" w:eastAsia="zh-CN"/>
              </w:rPr>
              <w:t>预估量</w:t>
            </w:r>
          </w:p>
        </w:tc>
      </w:tr>
      <w:tr w14:paraId="36AE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948" w:type="pct"/>
            <w:vAlign w:val="center"/>
          </w:tcPr>
          <w:p w14:paraId="214361B2">
            <w:pPr>
              <w:tabs>
                <w:tab w:val="left" w:pos="1275"/>
              </w:tabs>
              <w:jc w:val="center"/>
              <w:rPr>
                <w:rFonts w:hint="default" w:ascii="仿宋_GB2312" w:eastAsia="仿宋_GB2312"/>
                <w:sz w:val="24"/>
                <w:lang w:val="en-US" w:eastAsia="zh-CN"/>
              </w:rPr>
            </w:pPr>
            <w:r>
              <w:rPr>
                <w:rFonts w:hint="eastAsia" w:ascii="仿宋_GB2312" w:eastAsia="仿宋_GB2312"/>
                <w:sz w:val="24"/>
              </w:rPr>
              <w:t>日照港</w:t>
            </w:r>
            <w:r>
              <w:rPr>
                <w:rFonts w:hint="eastAsia" w:ascii="仿宋_GB2312" w:eastAsia="仿宋_GB2312"/>
                <w:sz w:val="24"/>
                <w:lang w:eastAsia="zh-CN"/>
              </w:rPr>
              <w:t>、</w:t>
            </w:r>
            <w:r>
              <w:rPr>
                <w:rFonts w:hint="eastAsia" w:ascii="仿宋_GB2312" w:eastAsia="仿宋_GB2312"/>
                <w:sz w:val="24"/>
                <w:lang w:val="en-US" w:eastAsia="zh-CN"/>
              </w:rPr>
              <w:t>岚山港、岚</w:t>
            </w:r>
            <w:r>
              <w:rPr>
                <w:rFonts w:hint="eastAsia" w:ascii="仿宋_GB2312" w:eastAsia="仿宋_GB2312"/>
                <w:sz w:val="24"/>
                <w:highlight w:val="none"/>
                <w:lang w:val="en-US" w:eastAsia="zh-CN"/>
              </w:rPr>
              <w:t>桥</w:t>
            </w:r>
            <w:r>
              <w:rPr>
                <w:rFonts w:hint="eastAsia" w:ascii="仿宋_GB2312" w:eastAsia="仿宋_GB2312"/>
                <w:sz w:val="24"/>
                <w:lang w:val="en-US" w:eastAsia="zh-CN"/>
              </w:rPr>
              <w:t>港</w:t>
            </w:r>
          </w:p>
        </w:tc>
        <w:tc>
          <w:tcPr>
            <w:tcW w:w="3184" w:type="pct"/>
            <w:vAlign w:val="center"/>
          </w:tcPr>
          <w:p w14:paraId="617FEBB1">
            <w:pPr>
              <w:tabs>
                <w:tab w:val="left" w:pos="1275"/>
              </w:tabs>
              <w:jc w:val="center"/>
              <w:rPr>
                <w:rFonts w:hint="default" w:ascii="仿宋_GB2312" w:eastAsia="仿宋_GB2312"/>
                <w:sz w:val="24"/>
                <w:lang w:val="en-US" w:eastAsia="zh-CN"/>
              </w:rPr>
            </w:pPr>
            <w:r>
              <w:rPr>
                <w:rFonts w:hint="eastAsia" w:ascii="仿宋_GB2312" w:hAnsi="宋体" w:eastAsia="仿宋_GB2312" w:cs="Times New Roman"/>
                <w:kern w:val="0"/>
                <w:sz w:val="32"/>
                <w:szCs w:val="32"/>
                <w:lang w:val="en-US" w:eastAsia="zh-CN"/>
              </w:rPr>
              <w:t>山东钢铁股份有限公司（济南市钢城区)</w:t>
            </w:r>
          </w:p>
        </w:tc>
        <w:tc>
          <w:tcPr>
            <w:tcW w:w="867" w:type="pct"/>
            <w:vAlign w:val="center"/>
          </w:tcPr>
          <w:p w14:paraId="3B0779A6">
            <w:pPr>
              <w:tabs>
                <w:tab w:val="left" w:pos="1275"/>
              </w:tabs>
              <w:jc w:val="center"/>
              <w:rPr>
                <w:rFonts w:hint="default" w:ascii="仿宋_GB2312" w:eastAsia="仿宋_GB2312"/>
                <w:sz w:val="24"/>
                <w:lang w:val="en-US" w:eastAsia="zh-CN"/>
              </w:rPr>
            </w:pPr>
            <w:r>
              <w:rPr>
                <w:rFonts w:hint="eastAsia" w:ascii="仿宋_GB2312" w:hAnsi="宋体" w:eastAsia="仿宋_GB2312" w:cs="Times New Roman"/>
                <w:kern w:val="0"/>
                <w:sz w:val="32"/>
                <w:szCs w:val="32"/>
                <w:lang w:val="en-US" w:eastAsia="zh-CN"/>
              </w:rPr>
              <w:t>800吨/日</w:t>
            </w:r>
          </w:p>
        </w:tc>
      </w:tr>
    </w:tbl>
    <w:p w14:paraId="0EADA8A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_GB2312" w:hAnsi="黑体" w:eastAsia="楷体_GB2312"/>
          <w:sz w:val="32"/>
          <w:szCs w:val="32"/>
          <w:lang w:val="en-US" w:eastAsia="zh-CN"/>
        </w:rPr>
        <w:t>3.</w:t>
      </w:r>
      <w:r>
        <w:rPr>
          <w:rFonts w:hint="eastAsia" w:ascii="楷体_GB2312" w:hAnsi="黑体" w:eastAsia="楷体_GB2312"/>
          <w:sz w:val="32"/>
          <w:szCs w:val="32"/>
        </w:rPr>
        <w:t>结算方式：</w:t>
      </w:r>
      <w:r>
        <w:rPr>
          <w:rFonts w:hint="eastAsia" w:ascii="楷体_GB2312" w:hAnsi="黑体" w:eastAsia="楷体_GB2312"/>
          <w:sz w:val="32"/>
          <w:szCs w:val="32"/>
          <w:lang w:eastAsia="zh-CN"/>
        </w:rPr>
        <w:t>（</w:t>
      </w:r>
      <w:r>
        <w:rPr>
          <w:rFonts w:hint="eastAsia" w:ascii="楷体_GB2312" w:hAnsi="黑体" w:eastAsia="楷体_GB2312"/>
          <w:sz w:val="32"/>
          <w:szCs w:val="32"/>
          <w:lang w:val="en-US" w:eastAsia="zh-CN"/>
        </w:rPr>
        <w:t>1）</w:t>
      </w:r>
      <w:r>
        <w:rPr>
          <w:rFonts w:hint="eastAsia" w:ascii="仿宋_GB2312" w:hAnsi="仿宋_GB2312" w:eastAsia="仿宋_GB2312"/>
          <w:color w:val="000000"/>
          <w:sz w:val="32"/>
          <w:szCs w:val="32"/>
        </w:rPr>
        <w:t>按</w:t>
      </w:r>
      <w:r>
        <w:rPr>
          <w:rFonts w:hint="eastAsia" w:ascii="仿宋_GB2312" w:hAnsi="仿宋_GB2312" w:eastAsia="仿宋_GB2312"/>
          <w:color w:val="000000"/>
          <w:sz w:val="32"/>
          <w:szCs w:val="32"/>
          <w:lang w:val="en-US" w:eastAsia="zh-CN"/>
        </w:rPr>
        <w:t>吨</w:t>
      </w:r>
      <w:r>
        <w:rPr>
          <w:rFonts w:hint="eastAsia" w:ascii="仿宋_GB2312" w:hAnsi="仿宋_GB2312" w:eastAsia="仿宋_GB2312"/>
          <w:color w:val="000000"/>
          <w:sz w:val="32"/>
          <w:szCs w:val="32"/>
        </w:rPr>
        <w:t>结算</w:t>
      </w:r>
      <w:r>
        <w:rPr>
          <w:rFonts w:hint="eastAsia" w:ascii="仿宋_GB2312" w:hAnsi="宋体" w:eastAsia="仿宋_GB2312"/>
          <w:sz w:val="32"/>
          <w:szCs w:val="32"/>
        </w:rPr>
        <w:t>，</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进厂计量（净重）数据为准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发生涨吨的以发货（净重）数据为准。</w:t>
      </w:r>
      <w:r>
        <w:rPr>
          <w:rFonts w:hint="eastAsia" w:ascii="仿宋_GB2312" w:hAnsi="宋体" w:eastAsia="仿宋_GB2312"/>
          <w:sz w:val="32"/>
          <w:szCs w:val="32"/>
        </w:rPr>
        <w:t>次月月底前持相关结算票据</w:t>
      </w:r>
      <w:r>
        <w:rPr>
          <w:rFonts w:hint="eastAsia" w:ascii="仿宋_GB2312" w:hAnsi="宋体" w:eastAsia="仿宋_GB2312"/>
          <w:sz w:val="32"/>
          <w:szCs w:val="32"/>
          <w:lang w:val="en-US" w:eastAsia="zh-CN"/>
        </w:rPr>
        <w:t>到相关单位</w:t>
      </w:r>
      <w:r>
        <w:rPr>
          <w:rFonts w:hint="eastAsia" w:ascii="仿宋_GB2312" w:hAnsi="宋体" w:eastAsia="仿宋_GB2312"/>
          <w:sz w:val="32"/>
          <w:szCs w:val="32"/>
        </w:rPr>
        <w:t>审核，审核完毕后开具增值税专用发票（含税9%，遇国家税率调整时，进行相应调整）转入财务，由财务部门按照规定向承运单位支付运费，运费结算一般采取</w:t>
      </w:r>
      <w:r>
        <w:rPr>
          <w:rFonts w:hint="eastAsia" w:ascii="仿宋_GB2312" w:hAnsi="宋体" w:eastAsia="仿宋_GB2312"/>
          <w:sz w:val="32"/>
          <w:szCs w:val="32"/>
          <w:lang w:eastAsia="zh-CN"/>
        </w:rPr>
        <w:t>电子</w:t>
      </w:r>
      <w:r>
        <w:rPr>
          <w:rFonts w:hint="eastAsia" w:ascii="仿宋_GB2312" w:hAnsi="宋体" w:eastAsia="仿宋_GB2312"/>
          <w:sz w:val="32"/>
          <w:szCs w:val="32"/>
        </w:rPr>
        <w:t>承兑或</w:t>
      </w:r>
      <w:r>
        <w:rPr>
          <w:rFonts w:hint="eastAsia" w:ascii="仿宋_GB2312" w:hAnsi="宋体" w:eastAsia="仿宋_GB2312"/>
          <w:sz w:val="32"/>
          <w:szCs w:val="32"/>
          <w:lang w:eastAsia="zh-CN"/>
        </w:rPr>
        <w:t>内部转账</w:t>
      </w:r>
      <w:r>
        <w:rPr>
          <w:rFonts w:hint="eastAsia" w:ascii="仿宋_GB2312" w:hAnsi="宋体" w:eastAsia="仿宋_GB2312"/>
          <w:sz w:val="32"/>
          <w:szCs w:val="32"/>
        </w:rPr>
        <w:t>方式。</w:t>
      </w:r>
    </w:p>
    <w:p w14:paraId="1CD9A22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rPr>
        <w:t>综合亏耗：2‰以内（包含途耗和磅差）。</w:t>
      </w:r>
      <w:r>
        <w:rPr>
          <w:rFonts w:hint="eastAsia" w:ascii="仿宋" w:hAnsi="仿宋" w:eastAsia="仿宋" w:cs="仿宋"/>
          <w:sz w:val="32"/>
          <w:szCs w:val="32"/>
        </w:rPr>
        <w:t>因</w:t>
      </w:r>
      <w:r>
        <w:rPr>
          <w:rFonts w:hint="eastAsia" w:ascii="仿宋_GB2312" w:hAnsi="仿宋_GB2312" w:eastAsia="仿宋_GB2312" w:cs="仿宋_GB2312"/>
          <w:sz w:val="32"/>
          <w:szCs w:val="32"/>
          <w:highlight w:val="none"/>
        </w:rPr>
        <w:t>中标</w:t>
      </w:r>
      <w:r>
        <w:rPr>
          <w:rFonts w:hint="eastAsia" w:ascii="仿宋_GB2312" w:hAnsi="仿宋_GB2312" w:eastAsia="仿宋_GB2312" w:cs="仿宋_GB2312"/>
          <w:sz w:val="32"/>
          <w:szCs w:val="32"/>
          <w:highlight w:val="none"/>
          <w:lang w:val="en-US" w:eastAsia="zh-CN"/>
        </w:rPr>
        <w:t>承运人</w:t>
      </w:r>
      <w:r>
        <w:rPr>
          <w:rFonts w:hint="eastAsia" w:ascii="仿宋" w:hAnsi="仿宋" w:eastAsia="仿宋" w:cs="仿宋"/>
          <w:sz w:val="32"/>
          <w:szCs w:val="32"/>
        </w:rPr>
        <w:t>原因造成货物损失的或综合亏耗超过2‰部分，</w:t>
      </w:r>
      <w:r>
        <w:rPr>
          <w:rFonts w:hint="eastAsia" w:ascii="仿宋_GB2312" w:hAnsi="仿宋_GB2312" w:eastAsia="仿宋_GB2312" w:cs="仿宋_GB2312"/>
          <w:sz w:val="32"/>
          <w:szCs w:val="32"/>
          <w:highlight w:val="none"/>
        </w:rPr>
        <w:t>中标</w:t>
      </w:r>
      <w:r>
        <w:rPr>
          <w:rFonts w:hint="eastAsia" w:ascii="仿宋_GB2312" w:hAnsi="仿宋_GB2312" w:eastAsia="仿宋_GB2312" w:cs="仿宋_GB2312"/>
          <w:sz w:val="32"/>
          <w:szCs w:val="32"/>
          <w:highlight w:val="none"/>
          <w:lang w:val="en-US" w:eastAsia="zh-CN"/>
        </w:rPr>
        <w:t>承运人</w:t>
      </w:r>
      <w:r>
        <w:rPr>
          <w:rFonts w:hint="eastAsia" w:ascii="仿宋" w:hAnsi="仿宋" w:eastAsia="仿宋" w:cs="仿宋"/>
          <w:sz w:val="32"/>
          <w:szCs w:val="32"/>
        </w:rPr>
        <w:t>按1</w:t>
      </w:r>
      <w:r>
        <w:rPr>
          <w:rFonts w:hint="eastAsia" w:ascii="仿宋" w:hAnsi="仿宋" w:eastAsia="仿宋" w:cs="仿宋"/>
          <w:sz w:val="32"/>
          <w:szCs w:val="32"/>
          <w:lang w:val="en-US" w:eastAsia="zh-CN"/>
        </w:rPr>
        <w:t>3</w:t>
      </w:r>
      <w:r>
        <w:rPr>
          <w:rFonts w:hint="eastAsia" w:ascii="仿宋" w:hAnsi="仿宋" w:eastAsia="仿宋" w:cs="仿宋"/>
          <w:sz w:val="32"/>
          <w:szCs w:val="32"/>
        </w:rPr>
        <w:t>00元/吨的赔偿标准向</w:t>
      </w:r>
      <w:r>
        <w:rPr>
          <w:rFonts w:hint="eastAsia" w:ascii="仿宋" w:hAnsi="仿宋" w:eastAsia="仿宋" w:cs="仿宋"/>
          <w:sz w:val="32"/>
          <w:szCs w:val="32"/>
          <w:lang w:eastAsia="zh-CN"/>
        </w:rPr>
        <w:t>采购</w:t>
      </w:r>
      <w:r>
        <w:rPr>
          <w:rFonts w:hint="eastAsia" w:ascii="仿宋" w:hAnsi="仿宋" w:eastAsia="仿宋" w:cs="仿宋"/>
          <w:sz w:val="32"/>
          <w:szCs w:val="32"/>
        </w:rPr>
        <w:t>方进行赔偿，赔偿金</w:t>
      </w:r>
      <w:bookmarkStart w:id="2" w:name="OLE_LINK3"/>
      <w:r>
        <w:rPr>
          <w:rFonts w:hint="eastAsia" w:ascii="仿宋" w:hAnsi="仿宋" w:eastAsia="仿宋" w:cs="仿宋"/>
          <w:sz w:val="32"/>
          <w:szCs w:val="32"/>
        </w:rPr>
        <w:t>从乙方当月结算额中扣除</w:t>
      </w:r>
      <w:bookmarkEnd w:id="2"/>
      <w:r>
        <w:rPr>
          <w:rFonts w:hint="eastAsia" w:ascii="仿宋" w:hAnsi="仿宋" w:eastAsia="仿宋" w:cs="仿宋"/>
          <w:sz w:val="32"/>
          <w:szCs w:val="32"/>
        </w:rPr>
        <w:t>，</w:t>
      </w:r>
      <w:r>
        <w:rPr>
          <w:rFonts w:hint="eastAsia" w:ascii="仿宋" w:hAnsi="仿宋" w:eastAsia="仿宋" w:cs="仿宋"/>
          <w:sz w:val="32"/>
          <w:szCs w:val="32"/>
          <w:highlight w:val="none"/>
        </w:rPr>
        <w:t>运费不足以弥补甲方损失的，从</w:t>
      </w:r>
      <w:r>
        <w:rPr>
          <w:rFonts w:hint="eastAsia" w:ascii="仿宋_GB2312" w:hAnsi="仿宋_GB2312" w:eastAsia="仿宋_GB2312" w:cs="仿宋_GB2312"/>
          <w:sz w:val="32"/>
          <w:szCs w:val="32"/>
          <w:highlight w:val="none"/>
        </w:rPr>
        <w:t>中标</w:t>
      </w:r>
      <w:r>
        <w:rPr>
          <w:rFonts w:hint="eastAsia" w:ascii="仿宋_GB2312" w:hAnsi="仿宋_GB2312" w:eastAsia="仿宋_GB2312" w:cs="仿宋_GB2312"/>
          <w:sz w:val="32"/>
          <w:szCs w:val="32"/>
          <w:highlight w:val="none"/>
          <w:lang w:val="en-US" w:eastAsia="zh-CN"/>
        </w:rPr>
        <w:t>承运人</w:t>
      </w:r>
      <w:r>
        <w:rPr>
          <w:rFonts w:hint="eastAsia" w:ascii="仿宋" w:hAnsi="仿宋" w:eastAsia="仿宋" w:cs="仿宋"/>
          <w:sz w:val="32"/>
          <w:szCs w:val="32"/>
          <w:highlight w:val="none"/>
          <w:lang w:eastAsia="zh-CN"/>
        </w:rPr>
        <w:t>履约保证金</w:t>
      </w:r>
      <w:r>
        <w:rPr>
          <w:rFonts w:hint="eastAsia" w:ascii="仿宋" w:hAnsi="仿宋" w:eastAsia="仿宋" w:cs="仿宋"/>
          <w:sz w:val="32"/>
          <w:szCs w:val="32"/>
          <w:highlight w:val="none"/>
        </w:rPr>
        <w:t>中扣除。</w:t>
      </w:r>
    </w:p>
    <w:p w14:paraId="1F6C5D0C">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ascii="仿宋_GB2312" w:hAnsi="宋体" w:eastAsia="仿宋_GB2312"/>
          <w:sz w:val="32"/>
          <w:szCs w:val="32"/>
        </w:rPr>
      </w:pPr>
      <w:r>
        <w:rPr>
          <w:rFonts w:hint="eastAsia" w:ascii="仿宋" w:hAnsi="仿宋" w:eastAsia="仿宋" w:cs="仿宋"/>
          <w:sz w:val="32"/>
          <w:szCs w:val="32"/>
          <w:lang w:val="en-US" w:eastAsia="zh-CN"/>
        </w:rPr>
        <w:t>（3）</w:t>
      </w:r>
      <w:r>
        <w:rPr>
          <w:rFonts w:hint="eastAsia" w:ascii="仿宋_GB2312" w:hAnsi="仿宋_GB2312" w:eastAsia="仿宋_GB2312" w:cs="仿宋_GB2312"/>
          <w:sz w:val="32"/>
          <w:szCs w:val="32"/>
          <w:highlight w:val="none"/>
        </w:rPr>
        <w:t>中标</w:t>
      </w:r>
      <w:r>
        <w:rPr>
          <w:rFonts w:hint="eastAsia" w:ascii="仿宋_GB2312" w:hAnsi="仿宋_GB2312" w:eastAsia="仿宋_GB2312" w:cs="仿宋_GB2312"/>
          <w:sz w:val="32"/>
          <w:szCs w:val="32"/>
          <w:highlight w:val="none"/>
          <w:lang w:val="en-US" w:eastAsia="zh-CN"/>
        </w:rPr>
        <w:t>承运人</w:t>
      </w:r>
      <w:r>
        <w:rPr>
          <w:rFonts w:hint="eastAsia" w:ascii="仿宋" w:hAnsi="仿宋" w:eastAsia="仿宋" w:cs="仿宋"/>
          <w:sz w:val="32"/>
          <w:szCs w:val="32"/>
        </w:rPr>
        <w:t>按照</w:t>
      </w:r>
      <w:r>
        <w:rPr>
          <w:rFonts w:hint="eastAsia" w:ascii="仿宋" w:hAnsi="仿宋" w:eastAsia="仿宋" w:cs="仿宋"/>
          <w:sz w:val="32"/>
          <w:szCs w:val="32"/>
          <w:lang w:eastAsia="zh-CN"/>
        </w:rPr>
        <w:t>采购</w:t>
      </w:r>
      <w:r>
        <w:rPr>
          <w:rFonts w:hint="eastAsia" w:ascii="仿宋" w:hAnsi="仿宋" w:eastAsia="仿宋" w:cs="仿宋"/>
          <w:sz w:val="32"/>
          <w:szCs w:val="32"/>
        </w:rPr>
        <w:t>方下达的进口矿汽车运输计划组织运输，若无正当理由</w:t>
      </w:r>
      <w:r>
        <w:rPr>
          <w:rFonts w:hint="eastAsia" w:ascii="仿宋_GB2312" w:hAnsi="仿宋_GB2312" w:eastAsia="仿宋_GB2312" w:cs="仿宋_GB2312"/>
          <w:sz w:val="32"/>
          <w:szCs w:val="32"/>
          <w:highlight w:val="none"/>
        </w:rPr>
        <w:t>中标</w:t>
      </w:r>
      <w:r>
        <w:rPr>
          <w:rFonts w:hint="eastAsia" w:ascii="仿宋_GB2312" w:hAnsi="仿宋_GB2312" w:eastAsia="仿宋_GB2312" w:cs="仿宋_GB2312"/>
          <w:sz w:val="32"/>
          <w:szCs w:val="32"/>
          <w:highlight w:val="none"/>
          <w:lang w:val="en-US" w:eastAsia="zh-CN"/>
        </w:rPr>
        <w:t>承运人</w:t>
      </w:r>
      <w:r>
        <w:rPr>
          <w:rFonts w:hint="eastAsia" w:ascii="仿宋" w:hAnsi="仿宋" w:eastAsia="仿宋" w:cs="仿宋"/>
          <w:sz w:val="32"/>
          <w:szCs w:val="32"/>
        </w:rPr>
        <w:t>拒绝派车或所派车辆无法满足</w:t>
      </w:r>
      <w:r>
        <w:rPr>
          <w:rFonts w:hint="eastAsia" w:ascii="仿宋" w:hAnsi="仿宋" w:eastAsia="仿宋" w:cs="仿宋"/>
          <w:sz w:val="32"/>
          <w:szCs w:val="32"/>
          <w:lang w:eastAsia="zh-CN"/>
        </w:rPr>
        <w:t>采购</w:t>
      </w:r>
      <w:r>
        <w:rPr>
          <w:rFonts w:hint="eastAsia" w:ascii="仿宋" w:hAnsi="仿宋" w:eastAsia="仿宋" w:cs="仿宋"/>
          <w:sz w:val="32"/>
          <w:szCs w:val="32"/>
        </w:rPr>
        <w:t>方业务需求，一次扣罚2000元</w:t>
      </w:r>
      <w:r>
        <w:rPr>
          <w:rFonts w:hint="eastAsia" w:ascii="仿宋" w:hAnsi="仿宋" w:eastAsia="仿宋" w:cs="仿宋"/>
          <w:sz w:val="32"/>
          <w:szCs w:val="32"/>
          <w:lang w:val="en-US" w:eastAsia="zh-CN"/>
        </w:rPr>
        <w:t>，</w:t>
      </w:r>
      <w:r>
        <w:rPr>
          <w:rFonts w:hint="eastAsia" w:ascii="仿宋" w:hAnsi="仿宋" w:eastAsia="仿宋" w:cs="仿宋"/>
          <w:sz w:val="32"/>
          <w:szCs w:val="32"/>
        </w:rPr>
        <w:t>从当月结算额中扣除</w:t>
      </w:r>
      <w:r>
        <w:rPr>
          <w:rFonts w:hint="eastAsia" w:ascii="仿宋" w:hAnsi="仿宋" w:eastAsia="仿宋" w:cs="仿宋"/>
          <w:sz w:val="32"/>
          <w:szCs w:val="32"/>
          <w:lang w:val="en-US" w:eastAsia="zh-CN"/>
        </w:rPr>
        <w:t>。</w:t>
      </w:r>
    </w:p>
    <w:p w14:paraId="2D4DCE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sz w:val="32"/>
          <w:szCs w:val="32"/>
          <w:highlight w:val="yellow"/>
          <w:lang w:val="en-US" w:eastAsia="zh-CN"/>
        </w:rPr>
      </w:pPr>
      <w:r>
        <w:rPr>
          <w:rFonts w:hint="eastAsia" w:ascii="仿宋_GB2312" w:hAnsi="宋体" w:eastAsia="仿宋_GB2312"/>
          <w:sz w:val="32"/>
          <w:szCs w:val="32"/>
          <w:lang w:val="en-US" w:eastAsia="zh-CN"/>
        </w:rPr>
        <w:t>4.</w:t>
      </w:r>
      <w:r>
        <w:rPr>
          <w:rFonts w:hint="eastAsia" w:ascii="楷体_GB2312" w:hAnsi="黑体" w:eastAsia="楷体_GB2312"/>
          <w:sz w:val="32"/>
          <w:szCs w:val="32"/>
        </w:rPr>
        <w:t>项目周期：</w:t>
      </w:r>
      <w:r>
        <w:rPr>
          <w:rFonts w:hint="eastAsia" w:ascii="仿宋_GB2312" w:hAnsi="宋体" w:eastAsia="仿宋_GB2312"/>
          <w:sz w:val="32"/>
          <w:szCs w:val="32"/>
          <w:highlight w:val="none"/>
          <w:u w:val="none"/>
          <w:lang w:val="en-US" w:eastAsia="zh-CN"/>
        </w:rPr>
        <w:t>合同签订日至2025年9月30日</w:t>
      </w:r>
    </w:p>
    <w:p w14:paraId="3998F1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sz w:val="32"/>
          <w:szCs w:val="32"/>
        </w:rPr>
      </w:pPr>
      <w:r>
        <w:rPr>
          <w:rFonts w:hint="eastAsia" w:ascii="楷体_GB2312" w:hAnsi="黑体" w:eastAsia="楷体_GB2312"/>
          <w:sz w:val="32"/>
          <w:szCs w:val="32"/>
        </w:rPr>
        <w:t>5</w:t>
      </w:r>
      <w:r>
        <w:rPr>
          <w:rFonts w:hint="eastAsia" w:ascii="楷体_GB2312" w:hAnsi="黑体" w:eastAsia="楷体_GB2312"/>
          <w:sz w:val="32"/>
          <w:szCs w:val="32"/>
          <w:lang w:eastAsia="zh-CN"/>
        </w:rPr>
        <w:t>.</w:t>
      </w:r>
      <w:r>
        <w:rPr>
          <w:rFonts w:hint="eastAsia" w:ascii="楷体_GB2312" w:hAnsi="黑体" w:eastAsia="楷体_GB2312"/>
          <w:sz w:val="32"/>
          <w:szCs w:val="32"/>
        </w:rPr>
        <w:t>运输服务：</w:t>
      </w:r>
      <w:r>
        <w:rPr>
          <w:rFonts w:hint="eastAsia" w:ascii="仿宋_GB2312" w:hAnsi="宋体" w:eastAsia="仿宋_GB2312"/>
          <w:sz w:val="32"/>
          <w:szCs w:val="32"/>
        </w:rPr>
        <w:t>根据进口矿汽车运输计划，实现准时、安全的运输服务，保障公司生产用料需求。</w:t>
      </w:r>
    </w:p>
    <w:p w14:paraId="421506A1">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三</w:t>
      </w:r>
      <w:r>
        <w:rPr>
          <w:rFonts w:hint="eastAsia" w:ascii="黑体" w:hAnsi="黑体" w:eastAsia="黑体" w:cs="宋体"/>
          <w:color w:val="auto"/>
          <w:kern w:val="0"/>
          <w:sz w:val="32"/>
          <w:szCs w:val="32"/>
        </w:rPr>
        <w:t>、投标人资格要求</w:t>
      </w:r>
    </w:p>
    <w:p w14:paraId="635A2EA9">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本次招标资格审查采取网上报名，网上审核方式，投标人在山东钢铁集团有限公司范围内出现中标后弃标、不履约合同或被列入不合格供应商、淘汰供应商名单（淘汰时间范围内），一票否决；投标人不符合以下条件的，资格审查将被否决（已注明否决项），不再进入下一阶段的评标。</w:t>
      </w:r>
    </w:p>
    <w:p w14:paraId="49CDC3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本项目投标单位具备以下条件：</w:t>
      </w:r>
    </w:p>
    <w:p w14:paraId="298FA1AE">
      <w:pPr>
        <w:keepNext w:val="0"/>
        <w:keepLines w:val="0"/>
        <w:pageBreakBefore w:val="0"/>
        <w:widowControl w:val="0"/>
        <w:numPr>
          <w:ilvl w:val="0"/>
          <w:numId w:val="2"/>
        </w:numPr>
        <w:wordWrap/>
        <w:topLinePunct w:val="0"/>
        <w:autoSpaceDE/>
        <w:autoSpaceDN/>
        <w:bidi w:val="0"/>
        <w:spacing w:line="560" w:lineRule="exact"/>
        <w:ind w:firstLine="640" w:firstLineChars="200"/>
        <w:jc w:val="both"/>
        <w:textAlignment w:val="auto"/>
        <w:rPr>
          <w:rFonts w:ascii="仿宋_GB2312" w:hAnsi="仿宋_GB2312" w:eastAsia="仿宋_GB2312" w:cs="仿宋_GB2312"/>
          <w:kern w:val="2"/>
          <w:sz w:val="32"/>
          <w:szCs w:val="32"/>
          <w:highlight w:val="none"/>
        </w:rPr>
      </w:pPr>
      <w:bookmarkStart w:id="3" w:name="_GoBack"/>
      <w:r>
        <w:rPr>
          <w:rFonts w:hint="eastAsia" w:ascii="仿宋_GB2312" w:hAnsi="仿宋_GB2312" w:eastAsia="仿宋_GB2312" w:cs="仿宋_GB2312"/>
          <w:sz w:val="32"/>
          <w:szCs w:val="32"/>
          <w:highlight w:val="none"/>
          <w:shd w:val="clear" w:color="auto" w:fill="FFFFFF"/>
          <w:lang w:bidi="ar"/>
        </w:rPr>
        <w:t>符合国家规定行业标准，具有独立企业法人资格，依法取得工商登记许可证</w:t>
      </w:r>
      <w:r>
        <w:rPr>
          <w:rFonts w:hint="eastAsia" w:ascii="仿宋_GB2312" w:hAnsi="仿宋_GB2312" w:eastAsia="仿宋_GB2312" w:cs="仿宋_GB2312"/>
          <w:sz w:val="32"/>
          <w:szCs w:val="32"/>
          <w:highlight w:val="none"/>
          <w:shd w:val="clear" w:color="auto" w:fill="FFFFFF"/>
          <w:lang w:eastAsia="zh-CN" w:bidi="ar"/>
        </w:rPr>
        <w:t>、</w:t>
      </w:r>
      <w:r>
        <w:rPr>
          <w:rFonts w:hint="eastAsia" w:ascii="仿宋_GB2312" w:hAnsi="仿宋_GB2312" w:eastAsia="仿宋_GB2312" w:cs="仿宋_GB2312"/>
          <w:sz w:val="32"/>
          <w:szCs w:val="32"/>
          <w:highlight w:val="none"/>
          <w:shd w:val="clear" w:color="auto" w:fill="FFFFFF"/>
          <w:lang w:val="en-US" w:eastAsia="zh-CN" w:bidi="ar"/>
        </w:rPr>
        <w:t>道路运输经营许可证</w:t>
      </w:r>
      <w:r>
        <w:rPr>
          <w:rFonts w:hint="eastAsia" w:ascii="仿宋_GB2312" w:hAnsi="仿宋_GB2312" w:eastAsia="仿宋_GB2312" w:cs="仿宋_GB2312"/>
          <w:sz w:val="32"/>
          <w:szCs w:val="32"/>
          <w:highlight w:val="none"/>
          <w:shd w:val="clear" w:color="auto" w:fill="FFFFFF"/>
          <w:lang w:bidi="ar"/>
        </w:rPr>
        <w:t>等相关资质。</w:t>
      </w:r>
    </w:p>
    <w:p w14:paraId="27B875F8">
      <w:pPr>
        <w:keepNext w:val="0"/>
        <w:keepLines w:val="0"/>
        <w:pageBreakBefore w:val="0"/>
        <w:widowControl w:val="0"/>
        <w:numPr>
          <w:ilvl w:val="0"/>
          <w:numId w:val="2"/>
        </w:numPr>
        <w:wordWrap/>
        <w:topLinePunct w:val="0"/>
        <w:autoSpaceDE/>
        <w:autoSpaceDN/>
        <w:bidi w:val="0"/>
        <w:spacing w:line="560" w:lineRule="exact"/>
        <w:ind w:firstLine="640" w:firstLineChars="2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具有良好的商业信誉</w:t>
      </w:r>
      <w:r>
        <w:rPr>
          <w:rFonts w:hint="eastAsia" w:ascii="仿宋_GB2312" w:hAnsi="仿宋_GB2312" w:eastAsia="仿宋_GB2312" w:cs="仿宋_GB2312"/>
          <w:kern w:val="2"/>
          <w:sz w:val="32"/>
          <w:szCs w:val="32"/>
          <w:highlight w:val="none"/>
          <w:lang w:val="en-US" w:eastAsia="zh-CN"/>
        </w:rPr>
        <w:t>和经营业绩</w:t>
      </w:r>
      <w:r>
        <w:rPr>
          <w:rFonts w:hint="eastAsia" w:ascii="仿宋_GB2312" w:hAnsi="仿宋_GB2312" w:eastAsia="仿宋_GB2312" w:cs="仿宋_GB2312"/>
          <w:kern w:val="2"/>
          <w:sz w:val="32"/>
          <w:szCs w:val="32"/>
          <w:highlight w:val="none"/>
          <w:shd w:val="clear" w:color="auto" w:fill="FFFFFF"/>
        </w:rPr>
        <w:t>。</w:t>
      </w:r>
    </w:p>
    <w:p w14:paraId="764D4C17">
      <w:pPr>
        <w:keepNext w:val="0"/>
        <w:keepLines w:val="0"/>
        <w:pageBreakBefore w:val="0"/>
        <w:widowControl w:val="0"/>
        <w:numPr>
          <w:ilvl w:val="0"/>
          <w:numId w:val="2"/>
        </w:numPr>
        <w:kinsoku w:val="0"/>
        <w:wordWrap/>
        <w:overflowPunct w:val="0"/>
        <w:topLinePunct w:val="0"/>
        <w:autoSpaceDE/>
        <w:autoSpaceDN/>
        <w:bidi w:val="0"/>
        <w:spacing w:line="560" w:lineRule="exact"/>
        <w:ind w:firstLine="640" w:firstLineChars="200"/>
        <w:jc w:val="both"/>
        <w:textAlignment w:val="auto"/>
        <w:rPr>
          <w:rFonts w:ascii="仿宋_GB2312" w:hAnsi="宋体" w:eastAsia="仿宋_GB2312"/>
          <w:kern w:val="2"/>
          <w:sz w:val="32"/>
          <w:szCs w:val="32"/>
          <w:highlight w:val="none"/>
        </w:rPr>
      </w:pPr>
      <w:r>
        <w:rPr>
          <w:rFonts w:hint="eastAsia" w:ascii="仿宋_GB2312" w:hAnsi="Times New Roman" w:eastAsia="仿宋_GB2312"/>
          <w:kern w:val="2"/>
          <w:sz w:val="32"/>
          <w:szCs w:val="32"/>
          <w:highlight w:val="none"/>
        </w:rPr>
        <w:t>不接受法定代表人为同一人，或者存在控股、管理关系的不同单位同时参与投标；不接受联合体投标；不接受第三方代理投标</w:t>
      </w:r>
      <w:r>
        <w:rPr>
          <w:rFonts w:hint="eastAsia" w:ascii="仿宋_GB2312" w:hAnsi="宋体" w:eastAsia="仿宋_GB2312"/>
          <w:kern w:val="2"/>
          <w:sz w:val="32"/>
          <w:szCs w:val="32"/>
          <w:highlight w:val="none"/>
        </w:rPr>
        <w:t>。</w:t>
      </w:r>
    </w:p>
    <w:p w14:paraId="455512DD">
      <w:pPr>
        <w:pStyle w:val="6"/>
        <w:keepNext w:val="0"/>
        <w:keepLines w:val="0"/>
        <w:pageBreakBefore w:val="0"/>
        <w:widowControl/>
        <w:numPr>
          <w:ilvl w:val="0"/>
          <w:numId w:val="3"/>
        </w:numPr>
        <w:wordWrap/>
        <w:topLinePunct w:val="0"/>
        <w:autoSpaceDE/>
        <w:autoSpaceDN/>
        <w:bidi w:val="0"/>
        <w:adjustRightInd w:val="0"/>
        <w:spacing w:before="0" w:beforeAutospacing="0" w:after="0" w:afterAutospacing="0" w:line="560" w:lineRule="exact"/>
        <w:ind w:firstLine="640" w:firstLineChars="200"/>
        <w:jc w:val="both"/>
        <w:textAlignment w:val="auto"/>
        <w:rPr>
          <w:rFonts w:ascii="仿宋_GB2312" w:hAnsi="宋体" w:eastAsia="仿宋_GB2312" w:cs="宋体"/>
          <w:sz w:val="32"/>
          <w:szCs w:val="32"/>
          <w:highlight w:val="none"/>
        </w:rPr>
      </w:pPr>
      <w:r>
        <w:rPr>
          <w:rFonts w:hint="eastAsia" w:ascii="仿宋_GB2312" w:hAnsi="宋体" w:eastAsia="仿宋_GB2312"/>
          <w:sz w:val="32"/>
          <w:szCs w:val="32"/>
          <w:highlight w:val="none"/>
          <w:lang w:val="en-US" w:eastAsia="zh-CN"/>
        </w:rPr>
        <w:t>上传资格预审文件，内容包括但不限于：营业执照</w:t>
      </w:r>
      <w:r>
        <w:rPr>
          <w:rFonts w:hint="eastAsia" w:ascii="仿宋_GB2312" w:hAnsi="仿宋_GB2312" w:eastAsia="仿宋_GB2312" w:cs="仿宋_GB2312"/>
          <w:sz w:val="32"/>
          <w:szCs w:val="32"/>
          <w:highlight w:val="none"/>
          <w:shd w:val="clear" w:color="auto" w:fill="FFFFFF"/>
          <w:lang w:eastAsia="zh-CN" w:bidi="ar"/>
        </w:rPr>
        <w:t>、</w:t>
      </w:r>
      <w:r>
        <w:rPr>
          <w:rFonts w:hint="eastAsia" w:ascii="仿宋_GB2312" w:hAnsi="仿宋_GB2312" w:eastAsia="仿宋_GB2312" w:cs="仿宋_GB2312"/>
          <w:sz w:val="32"/>
          <w:szCs w:val="32"/>
          <w:highlight w:val="none"/>
          <w:shd w:val="clear" w:color="auto" w:fill="FFFFFF"/>
          <w:lang w:val="en-US" w:eastAsia="zh-CN" w:bidi="ar"/>
        </w:rPr>
        <w:t>道路运输经营许可证</w:t>
      </w:r>
      <w:r>
        <w:rPr>
          <w:rFonts w:hint="eastAsia" w:ascii="仿宋_GB2312" w:hAnsi="宋体" w:eastAsia="仿宋_GB2312"/>
          <w:sz w:val="32"/>
          <w:szCs w:val="32"/>
          <w:highlight w:val="none"/>
          <w:lang w:val="en-US" w:eastAsia="zh-CN"/>
        </w:rPr>
        <w:t>、相关类似业务的合同、良好企业信誉证明（企查查等官网查询截图）等内容。</w:t>
      </w:r>
    </w:p>
    <w:bookmarkEnd w:id="3"/>
    <w:p w14:paraId="31EE6627">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、投标人须知</w:t>
      </w:r>
    </w:p>
    <w:p w14:paraId="783C9415">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1</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本次招标采用网上报名、网上审核的方式。凡有意参加的潜在投标人，在公告期内登陆：bams.shansteelgroup.com，注册用户成功报名后，要求投标人在电子招标平台及所报名项目里上传法定代表人授权书（适用于非法定代表人投标的情况）、法人身份证复印件,营业执照、企业资质、以及相关业绩证明等原件扫描件。</w:t>
      </w:r>
    </w:p>
    <w:p w14:paraId="436F3424">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rPr>
        <w:t>2</w:t>
      </w:r>
      <w:r>
        <w:rPr>
          <w:rFonts w:hint="eastAsia"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rPr>
        <w:t>投标人不按须知要求投标或提供资料，评标委员会将做出不利于投标人的评审；招标人就以上要求发现投标人</w:t>
      </w:r>
      <w:r>
        <w:rPr>
          <w:rFonts w:hint="eastAsia" w:ascii="仿宋_GB2312" w:hAnsi="Times New Roman" w:eastAsia="仿宋_GB2312" w:cs="Times New Roman"/>
          <w:color w:val="auto"/>
          <w:sz w:val="32"/>
          <w:szCs w:val="32"/>
          <w:highlight w:val="none"/>
        </w:rPr>
        <w:t>有弄虚作假的行为，有权做废标或取消中标资格处理，投标保证金有权不予返还。</w:t>
      </w:r>
    </w:p>
    <w:p w14:paraId="11CCCEB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3.中标承运商运输车辆要实行全程铅封管理，并制定在途运输管控等必要的货物保全措施，保证车辆货物安全环保运输。</w:t>
      </w:r>
    </w:p>
    <w:p w14:paraId="0D617F2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4.中标承运商对运输过程中所有事项负全部责任，中标承运商参与本业务运行的车辆必须按照国家规定的标准载重组织运输，严禁违法超载超限运输。</w:t>
      </w:r>
    </w:p>
    <w:p w14:paraId="65590DF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5.中标承运商必须配备符合国家或地方法律法规的业务所需车辆，所有运输车辆必须运行正常并安装GPS或北斗系统，可实时监控，并向采购方提供系统平台接口。</w:t>
      </w:r>
    </w:p>
    <w:p w14:paraId="572A0C0D">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6.中标承运商运输车辆必须满足采购方环保要求，且覆盖采购方认可的篷布或密闭运输，行驶中严禁出现抛物、洒漏、扬尘现象；中标承运商车辆驶出卸车区域前必须清洗车身及车轮，使车身及箱体外表面干净整洁，车轮无黏土，保障厂区道路清洁。</w:t>
      </w:r>
    </w:p>
    <w:p w14:paraId="61D118E6">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7.业务实施过程中服从采购方主管部门、各岗位的管理，不得与采购方管理人员发生纠纷。</w:t>
      </w:r>
    </w:p>
    <w:p w14:paraId="7B330CEC">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8.中标承运商应按照采购方管理要求制作、传递和管理相关单据、数据。</w:t>
      </w:r>
    </w:p>
    <w:p w14:paraId="7D1FB13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9.中标承运商应按照采购方计划和规定实施装车，严禁混有杂物，遇特殊情况需及时向采购方反映（例如货物含有杂质或含水分过多），由采购方负责处置；若中标承运商未向采购方反映或未按采购方规定装车，采购方有权拒绝收货，由此所引发的损失由中标承运商全部承担，同时因此影响采购方正常生产的要赔偿甲方损失。</w:t>
      </w:r>
    </w:p>
    <w:p w14:paraId="057C8CFB">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10.合同履行过程中，中标承运商必须按照采购方信息化设计和要求进行相关信息化系统操作，确保信息化信息准确、及时。如采购方建设新的信息系统或要求使用新的信息化设备、技术，中标承运商必须按要求配合和使用。</w:t>
      </w:r>
    </w:p>
    <w:p w14:paraId="70B02DFA">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11.中标承运商车辆进入采购方厂区必须按照指定路线行车，厂内行驶速度控制在30km/h以内，不允许在非停车区随意停车，保障厂内道路畅通。</w:t>
      </w:r>
    </w:p>
    <w:p w14:paraId="345216F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textAlignment w:val="auto"/>
        <w:rPr>
          <w:rFonts w:hint="default" w:ascii="仿宋_GB2312" w:hAnsi="Times New Roman" w:eastAsia="仿宋_GB2312" w:cs="Times New Roman"/>
          <w:b/>
          <w:bCs/>
          <w:color w:val="FF0000"/>
          <w:w w:val="100"/>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12.</w:t>
      </w:r>
      <w:r>
        <w:rPr>
          <w:rFonts w:hint="eastAsia" w:ascii="仿宋_GB2312" w:hAnsi="Times New Roman" w:eastAsia="仿宋_GB2312" w:cs="Times New Roman"/>
          <w:sz w:val="32"/>
          <w:szCs w:val="32"/>
        </w:rPr>
        <w:t>根据</w:t>
      </w:r>
      <w:r>
        <w:rPr>
          <w:rFonts w:hint="eastAsia" w:ascii="仿宋_GB2312" w:hAnsi="Times New Roman" w:eastAsia="仿宋_GB2312"/>
          <w:sz w:val="32"/>
          <w:szCs w:val="32"/>
        </w:rPr>
        <w:t>采购人环保绩效需要，</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lang w:eastAsia="zh-CN"/>
        </w:rPr>
        <w:t>运输</w:t>
      </w:r>
      <w:r>
        <w:rPr>
          <w:rFonts w:hint="eastAsia" w:ascii="仿宋_GB2312" w:hAnsi="Times New Roman" w:eastAsia="仿宋_GB2312"/>
          <w:sz w:val="32"/>
          <w:szCs w:val="32"/>
        </w:rPr>
        <w:t>须满足清洁</w:t>
      </w:r>
      <w:r>
        <w:rPr>
          <w:rFonts w:hint="eastAsia" w:ascii="仿宋_GB2312" w:hAnsi="仿宋_GB2312" w:eastAsia="仿宋_GB2312" w:cs="仿宋_GB2312"/>
          <w:sz w:val="32"/>
          <w:szCs w:val="32"/>
        </w:rPr>
        <w:t>运输要求，</w:t>
      </w:r>
      <w:r>
        <w:rPr>
          <w:rFonts w:hint="eastAsia" w:ascii="仿宋_GB2312" w:hAnsi="仿宋_GB2312" w:eastAsia="仿宋_GB2312" w:cs="仿宋_GB2312"/>
          <w:sz w:val="32"/>
          <w:szCs w:val="32"/>
          <w:lang w:val="en-US" w:eastAsia="zh-CN"/>
        </w:rPr>
        <w:t>参与标的1竞标的承运单位全部使用</w:t>
      </w:r>
      <w:r>
        <w:rPr>
          <w:rFonts w:hint="eastAsia" w:ascii="仿宋_GB2312" w:hAnsi="仿宋_GB2312" w:eastAsia="仿宋_GB2312" w:cs="仿宋_GB2312"/>
          <w:sz w:val="32"/>
          <w:szCs w:val="32"/>
        </w:rPr>
        <w:t>国六</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排放标准车辆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参与标的2竞标的承运单位</w:t>
      </w:r>
      <w:r>
        <w:rPr>
          <w:rFonts w:hint="eastAsia" w:ascii="仿宋_GB2312" w:hAnsi="仿宋_GB2312" w:eastAsia="仿宋_GB2312" w:cs="仿宋_GB2312"/>
          <w:sz w:val="32"/>
          <w:szCs w:val="32"/>
        </w:rPr>
        <w:t>全部使用新能源</w:t>
      </w:r>
      <w:r>
        <w:rPr>
          <w:rFonts w:hint="eastAsia" w:ascii="仿宋_GB2312" w:hAnsi="仿宋_GB2312" w:eastAsia="仿宋_GB2312" w:cs="仿宋_GB2312"/>
          <w:sz w:val="32"/>
          <w:szCs w:val="32"/>
          <w:lang w:val="en-US" w:eastAsia="zh-CN"/>
        </w:rPr>
        <w:t>车辆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请报价人密切关注采购人清洁运输政策变化，提供满足清洁运输要求的服务和资源。</w:t>
      </w:r>
    </w:p>
    <w:p w14:paraId="2CA59A62">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13.进入厂区作业时，驾驶员保持着装整齐，衣扣腰带扣紧扎牢，进入作业现场需佩戴安全帽、穿具有脚部防护作用的鞋（严禁穿凉鞋或拖鞋），遵守采购方劳动纪律和安全规程，不得酒后上岗。</w:t>
      </w:r>
    </w:p>
    <w:p w14:paraId="715DF3E0">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14.运输物资全部计量，每车计量毛重、皮重（特殊情况按采购方规定执行）。</w:t>
      </w:r>
    </w:p>
    <w:p w14:paraId="042C6D04">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15.当采购方因生产经营需要对中标承运商业务进行调整变化时，中标承运商应积极配合支持，并保持调整业务平稳顺行。</w:t>
      </w:r>
    </w:p>
    <w:p w14:paraId="0412E475">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val="en-US" w:eastAsia="zh-CN"/>
        </w:rPr>
        <w:t>16.本业务禁止外包。</w:t>
      </w:r>
    </w:p>
    <w:p w14:paraId="620A4475">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ascii="黑体" w:hAnsi="黑体" w:eastAsia="黑体" w:cs="宋体"/>
          <w:sz w:val="32"/>
          <w:szCs w:val="32"/>
        </w:rPr>
      </w:pPr>
      <w:r>
        <w:rPr>
          <w:rFonts w:hint="eastAsia" w:ascii="黑体" w:hAnsi="黑体" w:eastAsia="黑体" w:cs="宋体"/>
          <w:sz w:val="32"/>
          <w:szCs w:val="32"/>
          <w:lang w:val="en-US" w:eastAsia="zh-CN"/>
        </w:rPr>
        <w:t>五</w:t>
      </w:r>
      <w:r>
        <w:rPr>
          <w:rFonts w:hint="eastAsia" w:ascii="黑体" w:hAnsi="黑体" w:eastAsia="黑体" w:cs="宋体"/>
          <w:sz w:val="32"/>
          <w:szCs w:val="32"/>
        </w:rPr>
        <w:t>、报名截止时间</w:t>
      </w:r>
    </w:p>
    <w:p w14:paraId="5297D080">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公告开始日期：</w:t>
      </w:r>
      <w:r>
        <w:rPr>
          <w:rFonts w:hint="eastAsia" w:ascii="仿宋_GB2312" w:hAnsi="Times New Roman" w:eastAsia="仿宋_GB2312" w:cs="Times New Roman"/>
          <w:color w:val="auto"/>
          <w:sz w:val="32"/>
          <w:szCs w:val="32"/>
          <w:lang w:val="en-US" w:eastAsia="zh-CN"/>
        </w:rPr>
        <w:t>2025年7月4日</w:t>
      </w:r>
      <w:r>
        <w:rPr>
          <w:rFonts w:hint="eastAsia" w:ascii="仿宋_GB2312" w:eastAsia="仿宋_GB2312"/>
          <w:color w:val="auto"/>
          <w:sz w:val="32"/>
          <w:szCs w:val="32"/>
          <w:lang w:eastAsia="zh-CN"/>
        </w:rPr>
        <w:t>。</w:t>
      </w:r>
    </w:p>
    <w:p w14:paraId="1A25EEB3">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公告结束日期：</w:t>
      </w:r>
      <w:r>
        <w:rPr>
          <w:rFonts w:hint="eastAsia" w:ascii="仿宋_GB2312" w:hAnsi="Times New Roman" w:eastAsia="仿宋_GB2312" w:cs="Times New Roman"/>
          <w:color w:val="auto"/>
          <w:sz w:val="32"/>
          <w:szCs w:val="32"/>
          <w:lang w:val="en-US" w:eastAsia="zh-CN"/>
        </w:rPr>
        <w:t>2025年7月8日</w:t>
      </w:r>
      <w:r>
        <w:rPr>
          <w:rFonts w:hint="eastAsia" w:ascii="仿宋_GB2312" w:eastAsia="仿宋_GB2312"/>
          <w:color w:val="auto"/>
          <w:sz w:val="32"/>
          <w:szCs w:val="32"/>
        </w:rPr>
        <w:t>。</w:t>
      </w:r>
    </w:p>
    <w:p w14:paraId="6AF119A4">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资格</w:t>
      </w:r>
      <w:r>
        <w:rPr>
          <w:rFonts w:hint="eastAsia" w:ascii="仿宋_GB2312" w:hAnsi="Times New Roman" w:eastAsia="仿宋_GB2312" w:cs="Times New Roman"/>
          <w:color w:val="auto"/>
          <w:sz w:val="32"/>
          <w:szCs w:val="32"/>
          <w:lang w:val="en-US" w:eastAsia="zh-CN"/>
        </w:rPr>
        <w:t>审查</w:t>
      </w:r>
      <w:r>
        <w:rPr>
          <w:rFonts w:hint="eastAsia" w:ascii="仿宋_GB2312" w:hAnsi="Times New Roman" w:eastAsia="仿宋_GB2312" w:cs="Times New Roman"/>
          <w:color w:val="auto"/>
          <w:sz w:val="32"/>
          <w:szCs w:val="32"/>
        </w:rPr>
        <w:t>地点：山东钢铁股份有限公司招标中心。</w:t>
      </w:r>
    </w:p>
    <w:p w14:paraId="27EC6CC3">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资格审查资料：投标人在山钢集团阳光购销管理信息平台及所报名项目上传附件处，按本公告要求上传企业营业执照、企业资质、以及相关业绩证明、法定代表人授权书等原件扫描件。</w:t>
      </w:r>
    </w:p>
    <w:p w14:paraId="68B6A2F1">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六</w:t>
      </w:r>
      <w:r>
        <w:rPr>
          <w:rFonts w:hint="eastAsia" w:ascii="黑体" w:hAnsi="黑体" w:eastAsia="黑体" w:cs="宋体"/>
          <w:color w:val="auto"/>
          <w:kern w:val="0"/>
          <w:sz w:val="32"/>
          <w:szCs w:val="32"/>
        </w:rPr>
        <w:t>、开标地点</w:t>
      </w:r>
    </w:p>
    <w:p w14:paraId="488355D3">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山东钢铁股份有限公司招标中心（济南市钢城区友谊路26号）。</w:t>
      </w:r>
    </w:p>
    <w:p w14:paraId="1B250B25">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七</w:t>
      </w:r>
      <w:r>
        <w:rPr>
          <w:rFonts w:hint="eastAsia" w:ascii="黑体" w:hAnsi="黑体" w:eastAsia="黑体" w:cs="宋体"/>
          <w:color w:val="auto"/>
          <w:kern w:val="0"/>
          <w:sz w:val="32"/>
          <w:szCs w:val="32"/>
        </w:rPr>
        <w:t>、投标截止及开标时间</w:t>
      </w:r>
    </w:p>
    <w:p w14:paraId="7E7CE239">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具体</w:t>
      </w:r>
      <w:r>
        <w:rPr>
          <w:rFonts w:hint="eastAsia" w:ascii="仿宋_GB2312" w:hAnsi="Times New Roman" w:eastAsia="仿宋_GB2312" w:cs="Times New Roman"/>
          <w:color w:val="auto"/>
          <w:sz w:val="32"/>
          <w:szCs w:val="32"/>
        </w:rPr>
        <w:t>以系统公告时间为准，逾期视为放弃投标。</w:t>
      </w:r>
    </w:p>
    <w:p w14:paraId="0AA8B620">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八</w:t>
      </w:r>
      <w:r>
        <w:rPr>
          <w:rFonts w:hint="eastAsia" w:ascii="黑体" w:hAnsi="黑体" w:eastAsia="黑体" w:cs="宋体"/>
          <w:color w:val="auto"/>
          <w:kern w:val="0"/>
          <w:sz w:val="32"/>
          <w:szCs w:val="32"/>
        </w:rPr>
        <w:t>、投标报名及招标文件的获取方式</w:t>
      </w:r>
    </w:p>
    <w:p w14:paraId="12FCE10D">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rPr>
          <w:rFonts w:hint="eastAsia" w:ascii="仿宋_GB2312" w:eastAsia="仿宋_GB2312"/>
          <w:color w:val="auto"/>
          <w:sz w:val="32"/>
          <w:szCs w:val="32"/>
        </w:rPr>
      </w:pPr>
      <w:r>
        <w:rPr>
          <w:rFonts w:hint="eastAsia" w:ascii="仿宋_GB2312" w:eastAsia="仿宋_GB2312"/>
          <w:color w:val="auto"/>
          <w:sz w:val="32"/>
          <w:szCs w:val="32"/>
        </w:rPr>
        <w:t>本次招标采用网上报名方式。凡有意参加的潜在投标人，在公告期内登陆：bams.shansteelgroup.com，注册用户成功后，须修改初始密码，重新登录后报名。（注册时仅填写或上传带红星的必填项，完成注册即可）。</w:t>
      </w:r>
    </w:p>
    <w:p w14:paraId="2FA30BB6">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lang w:val="en-US" w:eastAsia="zh-CN"/>
        </w:rPr>
        <w:t>九</w:t>
      </w:r>
      <w:r>
        <w:rPr>
          <w:rFonts w:hint="eastAsia" w:ascii="黑体" w:hAnsi="黑体" w:eastAsia="黑体" w:cs="宋体"/>
          <w:color w:val="auto"/>
          <w:kern w:val="0"/>
          <w:sz w:val="32"/>
          <w:szCs w:val="32"/>
        </w:rPr>
        <w:t>、投标保证金</w:t>
      </w:r>
    </w:p>
    <w:p w14:paraId="665902BB">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因本项目与招标人生产经营关联度比较高，</w:t>
      </w:r>
      <w:r>
        <w:rPr>
          <w:rFonts w:hint="eastAsia" w:ascii="仿宋_GB2312" w:hAnsi="宋体" w:eastAsia="仿宋_GB2312"/>
          <w:sz w:val="32"/>
          <w:szCs w:val="32"/>
          <w:highlight w:val="none"/>
          <w:lang w:val="en-US" w:eastAsia="zh-CN"/>
        </w:rPr>
        <w:t>投</w:t>
      </w:r>
      <w:r>
        <w:rPr>
          <w:rFonts w:hint="eastAsia" w:ascii="仿宋_GB2312" w:hAnsi="宋体" w:eastAsia="仿宋_GB2312"/>
          <w:sz w:val="32"/>
          <w:szCs w:val="32"/>
          <w:highlight w:val="none"/>
        </w:rPr>
        <w:t>标单位需缴纳</w:t>
      </w:r>
      <w:r>
        <w:rPr>
          <w:rFonts w:hint="eastAsia" w:ascii="仿宋_GB2312" w:hAnsi="宋体" w:eastAsia="仿宋_GB2312"/>
          <w:sz w:val="32"/>
          <w:szCs w:val="32"/>
          <w:highlight w:val="none"/>
          <w:lang w:val="en-US" w:eastAsia="zh-CN"/>
        </w:rPr>
        <w:t>投标</w:t>
      </w:r>
      <w:r>
        <w:rPr>
          <w:rFonts w:hint="eastAsia" w:ascii="仿宋_GB2312" w:hAnsi="宋体" w:eastAsia="仿宋_GB2312"/>
          <w:sz w:val="32"/>
          <w:szCs w:val="32"/>
          <w:highlight w:val="none"/>
        </w:rPr>
        <w:t>保证金</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7万</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如果上一合同周期已缴纳投标保证金未转出，可延续至此次招标周期</w:t>
      </w:r>
      <w:r>
        <w:rPr>
          <w:rFonts w:hint="eastAsia" w:ascii="仿宋_GB2312" w:hAnsi="宋体" w:eastAsia="仿宋_GB2312"/>
          <w:sz w:val="32"/>
          <w:szCs w:val="32"/>
          <w:highlight w:val="none"/>
          <w:lang w:eastAsia="zh-CN"/>
        </w:rPr>
        <w:t>。</w:t>
      </w:r>
    </w:p>
    <w:p w14:paraId="19E886C7">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十、决标方式</w:t>
      </w:r>
    </w:p>
    <w:p w14:paraId="71D9A06D">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1</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本项目采取合理低价法评标，对不合理报价进行重点评价，按照各投标单位的有效报价计算均价，报价低于均价的30%时，由评标小组讨论商务报价的合理性，若不合理，作废标处理。</w:t>
      </w:r>
    </w:p>
    <w:p w14:paraId="0A1B1AC7">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eastAsia="仿宋_GB2312" w:cs="Times New Roman"/>
          <w:color w:val="auto"/>
          <w:sz w:val="32"/>
          <w:szCs w:val="32"/>
          <w:lang w:val="en-US" w:eastAsia="zh-CN"/>
        </w:rPr>
      </w:pPr>
      <w:r>
        <w:rPr>
          <w:rFonts w:hint="eastAsia" w:ascii="仿宋_GB2312" w:hAnsi="Calibri" w:eastAsia="仿宋_GB2312" w:cs="Times New Roman"/>
          <w:color w:val="auto"/>
          <w:sz w:val="32"/>
          <w:szCs w:val="32"/>
        </w:rPr>
        <w:t>2</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本项目根据现场需要拟确定一家</w:t>
      </w:r>
      <w:r>
        <w:rPr>
          <w:rFonts w:hint="eastAsia" w:ascii="仿宋_GB2312" w:eastAsia="仿宋_GB2312" w:cs="Times New Roman"/>
          <w:color w:val="auto"/>
          <w:sz w:val="32"/>
          <w:szCs w:val="32"/>
          <w:lang w:val="en-US" w:eastAsia="zh-CN"/>
        </w:rPr>
        <w:t>油车承运</w:t>
      </w:r>
      <w:r>
        <w:rPr>
          <w:rFonts w:hint="eastAsia" w:ascii="仿宋_GB2312" w:hAnsi="Calibri" w:eastAsia="仿宋_GB2312" w:cs="Times New Roman"/>
          <w:color w:val="auto"/>
          <w:sz w:val="32"/>
          <w:szCs w:val="32"/>
        </w:rPr>
        <w:t>单位</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不超过四家（含四家）电车承运单位共同承担该业务。具体业务量和运输计划根据公司生产需求和清洁运输比例动态调整。</w:t>
      </w:r>
    </w:p>
    <w:p w14:paraId="4297BB3A">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本项目标的2中，按报价从低到高确定拟中标候选人排序，以报价最低单位为第一中标候选人，依次与第二、第三、第四谈判是否同意按最低报价承运该业务，如不同意视为放弃本项目拟中标候选人资格，依次顺序谈判，直至满足标的2决标条件（如报价相同按报价时间确定先后顺序）。具体承运业务计划量，按拟中标候选人排序优先分配。</w:t>
      </w:r>
    </w:p>
    <w:p w14:paraId="177763DC">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十</w:t>
      </w:r>
      <w:r>
        <w:rPr>
          <w:rFonts w:hint="eastAsia" w:ascii="黑体" w:hAnsi="黑体" w:eastAsia="黑体" w:cs="宋体"/>
          <w:color w:val="auto"/>
          <w:kern w:val="0"/>
          <w:sz w:val="32"/>
          <w:szCs w:val="32"/>
          <w:lang w:val="en-US" w:eastAsia="zh-CN"/>
        </w:rPr>
        <w:t>一</w:t>
      </w:r>
      <w:r>
        <w:rPr>
          <w:rFonts w:hint="eastAsia" w:ascii="黑体" w:hAnsi="黑体" w:eastAsia="黑体" w:cs="宋体"/>
          <w:color w:val="auto"/>
          <w:kern w:val="0"/>
          <w:sz w:val="32"/>
          <w:szCs w:val="32"/>
        </w:rPr>
        <w:t>、招标人账户信息</w:t>
      </w:r>
    </w:p>
    <w:p w14:paraId="2C86C4B7">
      <w:pPr>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leftChars="0" w:firstLine="600" w:firstLineChars="200"/>
        <w:jc w:val="both"/>
        <w:textAlignment w:val="auto"/>
        <w:rPr>
          <w:rFonts w:hint="eastAsia" w:ascii="楷体" w:hAnsi="楷体" w:eastAsia="楷体" w:cs="楷体"/>
          <w:spacing w:val="-5"/>
          <w:sz w:val="31"/>
          <w:szCs w:val="31"/>
          <w:lang w:val="en-US" w:eastAsia="zh-CN"/>
        </w:rPr>
      </w:pPr>
      <w:r>
        <w:rPr>
          <w:rFonts w:hint="eastAsia" w:ascii="楷体" w:hAnsi="楷体" w:eastAsia="楷体" w:cs="楷体"/>
          <w:spacing w:val="-5"/>
          <w:sz w:val="31"/>
          <w:szCs w:val="31"/>
          <w:lang w:val="en-US" w:eastAsia="zh-CN"/>
        </w:rPr>
        <w:t>（一）标书费及投标保证金缴纳</w:t>
      </w:r>
    </w:p>
    <w:p w14:paraId="0DB0FAEC">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账户名：山东钢铁股份有限公司莱芜分公司</w:t>
      </w:r>
    </w:p>
    <w:p w14:paraId="466B1625">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开户行：中国工商银行</w:t>
      </w:r>
      <w:r>
        <w:rPr>
          <w:rFonts w:hint="eastAsia" w:ascii="仿宋_GB2312" w:hAnsi="仿宋_GB2312" w:eastAsia="仿宋_GB2312" w:cs="仿宋_GB2312"/>
          <w:color w:val="auto"/>
          <w:sz w:val="32"/>
          <w:szCs w:val="32"/>
          <w:lang w:val="en-US" w:eastAsia="zh-CN"/>
        </w:rPr>
        <w:t>股份有限公司</w:t>
      </w:r>
      <w:r>
        <w:rPr>
          <w:rFonts w:hint="eastAsia" w:ascii="仿宋_GB2312" w:hAnsi="仿宋_GB2312" w:eastAsia="仿宋_GB2312" w:cs="仿宋_GB2312"/>
          <w:color w:val="auto"/>
          <w:sz w:val="32"/>
          <w:szCs w:val="32"/>
        </w:rPr>
        <w:t>莱芜钢城支行</w:t>
      </w:r>
    </w:p>
    <w:p w14:paraId="7A2E4FBF">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账号：1617011029248031672</w:t>
      </w:r>
    </w:p>
    <w:p w14:paraId="1DD4D7D4">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请投标人使用公户汇款</w:t>
      </w:r>
      <w:r>
        <w:rPr>
          <w:rFonts w:hint="eastAsia" w:ascii="仿宋_GB2312" w:hAnsi="仿宋_GB2312" w:eastAsia="仿宋_GB2312" w:cs="仿宋_GB2312"/>
          <w:color w:val="auto"/>
          <w:sz w:val="32"/>
          <w:szCs w:val="32"/>
          <w:lang w:val="en-US" w:eastAsia="zh-CN"/>
        </w:rPr>
        <w:t>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务必</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lang w:val="en-US" w:eastAsia="zh-CN"/>
        </w:rPr>
        <w:t>汇款备注中注明以下内容：</w:t>
      </w:r>
    </w:p>
    <w:p w14:paraId="54B438B9">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缴纳标书费时备注：费。项目编号。项目名称。</w:t>
      </w:r>
      <w:r>
        <w:rPr>
          <w:rFonts w:hint="eastAsia" w:ascii="仿宋_GB2312" w:hAnsi="仿宋_GB2312" w:eastAsia="仿宋_GB2312" w:cs="仿宋_GB2312"/>
          <w:color w:val="auto"/>
          <w:sz w:val="32"/>
          <w:szCs w:val="32"/>
          <w:lang w:val="en-US" w:eastAsia="zh-CN"/>
        </w:rPr>
        <w:t>如：</w:t>
      </w:r>
    </w:p>
    <w:p w14:paraId="068B3565">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费。6312***********。****项目。</w:t>
      </w:r>
    </w:p>
    <w:p w14:paraId="7DC08D5E">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缴纳保证金时备注：金。项目编号。项目名称。</w:t>
      </w:r>
      <w:r>
        <w:rPr>
          <w:rFonts w:hint="eastAsia" w:ascii="仿宋_GB2312" w:hAnsi="仿宋_GB2312" w:eastAsia="仿宋_GB2312" w:cs="仿宋_GB2312"/>
          <w:color w:val="auto"/>
          <w:sz w:val="32"/>
          <w:szCs w:val="32"/>
          <w:lang w:val="en-US" w:eastAsia="zh-CN"/>
        </w:rPr>
        <w:t>如：</w:t>
      </w:r>
    </w:p>
    <w:p w14:paraId="2D87F816">
      <w:pPr>
        <w:tabs>
          <w:tab w:val="left" w:pos="993"/>
        </w:tabs>
        <w:spacing w:line="560" w:lineRule="exact"/>
        <w:ind w:firstLine="64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金。6312***********。****项目。</w:t>
      </w:r>
    </w:p>
    <w:p w14:paraId="0AD6A7D0">
      <w:pPr>
        <w:pStyle w:val="2"/>
        <w:numPr>
          <w:ilvl w:val="0"/>
          <w:numId w:val="0"/>
        </w:numPr>
        <w:spacing w:before="182"/>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以上备注信息是开通权限的凭据，请投标人准确填写项目编号，项目名称可简写。</w:t>
      </w:r>
      <w:r>
        <w:rPr>
          <w:rFonts w:hint="eastAsia" w:hAnsi="仿宋_GB2312" w:cs="仿宋_GB2312"/>
          <w:b w:val="0"/>
          <w:bCs w:val="0"/>
          <w:color w:val="auto"/>
          <w:sz w:val="32"/>
          <w:szCs w:val="32"/>
          <w:lang w:val="en-US" w:eastAsia="zh-CN"/>
        </w:rPr>
        <w:t>发送至</w:t>
      </w:r>
      <w:r>
        <w:rPr>
          <w:rFonts w:hint="default" w:ascii="仿宋_GB2312" w:hAnsi="仿宋_GB2312" w:eastAsia="仿宋_GB2312" w:cs="仿宋_GB2312"/>
          <w:color w:val="auto"/>
          <w:sz w:val="32"/>
          <w:szCs w:val="32"/>
          <w:lang w:val="en-US" w:eastAsia="zh-CN"/>
        </w:rPr>
        <w:t>邮箱</w:t>
      </w:r>
      <w:r>
        <w:rPr>
          <w:rFonts w:hint="eastAsia" w:hAnsi="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lgzhaobiao@163.com</w:t>
      </w:r>
      <w:r>
        <w:rPr>
          <w:rFonts w:hint="eastAsia" w:hAnsi="仿宋_GB2312" w:cs="仿宋_GB2312"/>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（银行汇款备注信息长度有限制，请注意）如因内容错误导致影响权限开通及投标的，责任自负。</w:t>
      </w:r>
    </w:p>
    <w:p w14:paraId="23D405C9">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权限开通异常时，请联系：</w:t>
      </w:r>
    </w:p>
    <w:p w14:paraId="67A255D9">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李先生 0531-76923197</w:t>
      </w:r>
    </w:p>
    <w:p w14:paraId="37E42A3B">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段女士 0531-76923175</w:t>
      </w:r>
    </w:p>
    <w:p w14:paraId="3AFA9C0C">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宋先生 0531-76923171</w:t>
      </w:r>
    </w:p>
    <w:p w14:paraId="03D7C2B5">
      <w:pPr>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leftChars="0" w:firstLine="600" w:firstLineChars="200"/>
        <w:jc w:val="both"/>
        <w:textAlignment w:val="auto"/>
        <w:rPr>
          <w:rFonts w:hint="eastAsia" w:ascii="楷体" w:hAnsi="楷体" w:eastAsia="楷体" w:cs="楷体"/>
          <w:spacing w:val="-5"/>
          <w:sz w:val="31"/>
          <w:szCs w:val="31"/>
          <w:lang w:val="en-US" w:eastAsia="zh-CN"/>
        </w:rPr>
      </w:pPr>
      <w:r>
        <w:rPr>
          <w:rFonts w:hint="eastAsia" w:ascii="楷体" w:hAnsi="楷体" w:eastAsia="楷体" w:cs="楷体"/>
          <w:spacing w:val="-5"/>
          <w:sz w:val="31"/>
          <w:szCs w:val="31"/>
          <w:lang w:val="en-US" w:eastAsia="zh-CN"/>
        </w:rPr>
        <w:t>（二）电子发票开具说明</w:t>
      </w:r>
    </w:p>
    <w:p w14:paraId="2937AFBB">
      <w:pPr>
        <w:keepNext w:val="0"/>
        <w:keepLines w:val="0"/>
        <w:pageBreakBefore w:val="0"/>
        <w:widowControl w:val="0"/>
        <w:tabs>
          <w:tab w:val="left" w:pos="993"/>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如有开具电子发票要求，请将银行汇款回执、开票信息以及公司名称发至邮箱 sglwfgs@163.com ，财务部门以此邮箱回复电子发票。</w:t>
      </w:r>
    </w:p>
    <w:p w14:paraId="72F54A42">
      <w:pPr>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line="560" w:lineRule="exact"/>
        <w:ind w:leftChars="0" w:firstLine="600" w:firstLineChars="200"/>
        <w:jc w:val="both"/>
        <w:textAlignment w:val="auto"/>
        <w:rPr>
          <w:rFonts w:hint="eastAsia" w:ascii="楷体" w:hAnsi="楷体" w:eastAsia="楷体" w:cs="楷体"/>
          <w:spacing w:val="-5"/>
          <w:sz w:val="31"/>
          <w:szCs w:val="31"/>
          <w:lang w:val="en-US" w:eastAsia="zh-CN"/>
        </w:rPr>
      </w:pPr>
      <w:r>
        <w:rPr>
          <w:rFonts w:hint="eastAsia" w:ascii="楷体" w:hAnsi="楷体" w:eastAsia="楷体" w:cs="楷体"/>
          <w:spacing w:val="-5"/>
          <w:sz w:val="31"/>
          <w:szCs w:val="31"/>
          <w:lang w:val="en-US" w:eastAsia="zh-CN"/>
        </w:rPr>
        <w:t>（三）保证金退款说明</w:t>
      </w:r>
    </w:p>
    <w:p w14:paraId="029B57BC">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（近期优化退款流程后另行通知，暂按以下流程退款。）</w:t>
      </w:r>
    </w:p>
    <w:p w14:paraId="0258F388">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保证金退款，需准备以下手续：</w:t>
      </w:r>
    </w:p>
    <w:p w14:paraId="22C68BA2">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default" w:ascii="仿宋_GB2312" w:hAnsi="仿宋_GB2312" w:eastAsia="仿宋_GB2312" w:cs="仿宋_GB2312"/>
          <w:color w:val="auto"/>
          <w:sz w:val="32"/>
          <w:szCs w:val="32"/>
          <w:lang w:val="en-US" w:eastAsia="zh-CN"/>
        </w:rPr>
        <w:t>申请退款单位的收款收据（加盖单位财务专用章）；</w:t>
      </w:r>
    </w:p>
    <w:p w14:paraId="5241BAC0">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default" w:ascii="仿宋_GB2312" w:hAnsi="仿宋_GB2312" w:eastAsia="仿宋_GB2312" w:cs="仿宋_GB2312"/>
          <w:color w:val="auto"/>
          <w:sz w:val="32"/>
          <w:szCs w:val="32"/>
          <w:lang w:val="en-US" w:eastAsia="zh-CN"/>
        </w:rPr>
        <w:t>银行汇款信息（</w:t>
      </w:r>
      <w:r>
        <w:rPr>
          <w:rFonts w:hint="eastAsia" w:ascii="仿宋_GB2312" w:hAnsi="仿宋_GB2312" w:eastAsia="仿宋_GB2312" w:cs="仿宋_GB2312"/>
          <w:color w:val="auto"/>
          <w:sz w:val="32"/>
          <w:szCs w:val="32"/>
          <w:lang w:val="en-US" w:eastAsia="zh-CN"/>
        </w:rPr>
        <w:t>即保证金汇款回执单，</w:t>
      </w:r>
      <w:r>
        <w:rPr>
          <w:rFonts w:hint="default" w:ascii="仿宋_GB2312" w:hAnsi="仿宋_GB2312" w:eastAsia="仿宋_GB2312" w:cs="仿宋_GB2312"/>
          <w:color w:val="auto"/>
          <w:sz w:val="32"/>
          <w:szCs w:val="32"/>
          <w:lang w:val="en-US" w:eastAsia="zh-CN"/>
        </w:rPr>
        <w:t>加盖单位财务专用章）；</w:t>
      </w:r>
    </w:p>
    <w:p w14:paraId="5E35B6C3">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业务办理人员的法人授权书（加盖单位公章、法人章及财务专用章）、身份证复印件（加盖单位公章）。</w:t>
      </w:r>
    </w:p>
    <w:p w14:paraId="1B8D4FC1">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携带以上手续到招标中心（济南市钢城区友谊大街26号）419室办理，联系人：李先生 0531-76923197</w:t>
      </w:r>
    </w:p>
    <w:p w14:paraId="51C0CCD6">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3. </w:t>
      </w:r>
      <w:r>
        <w:rPr>
          <w:rFonts w:hint="default" w:ascii="仿宋_GB2312" w:hAnsi="仿宋_GB2312" w:eastAsia="仿宋_GB2312" w:cs="仿宋_GB2312"/>
          <w:color w:val="auto"/>
          <w:sz w:val="32"/>
          <w:szCs w:val="32"/>
          <w:lang w:val="en-US" w:eastAsia="zh-CN"/>
        </w:rPr>
        <w:t>每月仅限5-25号期间的工作日办理（如遇节假日等情况顺延）。月末办理银行转账支付。（请各单位月末两天自行查询银行账户）。</w:t>
      </w:r>
    </w:p>
    <w:p w14:paraId="11C6CA13">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十</w:t>
      </w:r>
      <w:r>
        <w:rPr>
          <w:rFonts w:hint="eastAsia" w:ascii="黑体" w:hAnsi="黑体" w:eastAsia="黑体" w:cs="宋体"/>
          <w:color w:val="auto"/>
          <w:kern w:val="0"/>
          <w:sz w:val="32"/>
          <w:szCs w:val="32"/>
          <w:lang w:val="en-US" w:eastAsia="zh-CN"/>
        </w:rPr>
        <w:t>二</w:t>
      </w:r>
      <w:r>
        <w:rPr>
          <w:rFonts w:hint="eastAsia" w:ascii="黑体" w:hAnsi="黑体" w:eastAsia="黑体" w:cs="宋体"/>
          <w:color w:val="auto"/>
          <w:kern w:val="0"/>
          <w:sz w:val="32"/>
          <w:szCs w:val="32"/>
        </w:rPr>
        <w:t>、招标文件澄清或答疑</w:t>
      </w:r>
    </w:p>
    <w:p w14:paraId="44845134">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 xml:space="preserve">1. </w:t>
      </w:r>
      <w:r>
        <w:rPr>
          <w:rFonts w:hint="eastAsia" w:ascii="仿宋_GB2312" w:hAnsi="Calibri" w:eastAsia="仿宋_GB2312" w:cs="Times New Roman"/>
          <w:color w:val="auto"/>
          <w:sz w:val="32"/>
          <w:szCs w:val="32"/>
        </w:rPr>
        <w:t>在投标截止日前，招标人</w:t>
      </w:r>
      <w:r>
        <w:rPr>
          <w:rFonts w:hint="eastAsia" w:ascii="仿宋_GB2312" w:hAnsi="Calibri" w:eastAsia="仿宋_GB2312" w:cs="Times New Roman"/>
          <w:color w:val="auto"/>
          <w:sz w:val="32"/>
          <w:szCs w:val="32"/>
          <w:lang w:val="en-US" w:eastAsia="zh-CN"/>
        </w:rPr>
        <w:t>将根据投标人需求情况，视情</w:t>
      </w:r>
      <w:r>
        <w:rPr>
          <w:rFonts w:hint="eastAsia" w:ascii="仿宋_GB2312" w:hAnsi="Calibri" w:eastAsia="仿宋_GB2312" w:cs="Times New Roman"/>
          <w:color w:val="auto"/>
          <w:sz w:val="32"/>
          <w:szCs w:val="32"/>
        </w:rPr>
        <w:t>组织标前答疑、现场踏勘、技术交流，有权就招标文件进行澄清，澄清文件以附件的形式，在招标人招标平台内予以发布。</w:t>
      </w:r>
    </w:p>
    <w:p w14:paraId="131E157F">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Calibri" w:eastAsia="仿宋_GB2312" w:cs="Times New Roman"/>
          <w:color w:val="auto"/>
          <w:sz w:val="32"/>
          <w:szCs w:val="32"/>
        </w:rPr>
      </w:pPr>
      <w:r>
        <w:rPr>
          <w:rFonts w:hint="eastAsia" w:ascii="仿宋_GB2312" w:hAnsi="Calibri" w:eastAsia="仿宋_GB2312" w:cs="Times New Roman"/>
          <w:color w:val="auto"/>
          <w:sz w:val="32"/>
          <w:szCs w:val="32"/>
          <w:lang w:val="en-US" w:eastAsia="zh-CN"/>
        </w:rPr>
        <w:t xml:space="preserve">2. </w:t>
      </w:r>
      <w:r>
        <w:rPr>
          <w:rFonts w:hint="eastAsia" w:ascii="仿宋_GB2312" w:hAnsi="Calibri" w:eastAsia="仿宋_GB2312" w:cs="Times New Roman"/>
          <w:color w:val="auto"/>
          <w:sz w:val="32"/>
          <w:szCs w:val="32"/>
        </w:rPr>
        <w:t>请潜在投标人每日登陆山钢集团阳光购销管理信息平台</w:t>
      </w:r>
      <w:r>
        <w:rPr>
          <w:rFonts w:hint="eastAsia" w:ascii="仿宋_GB2312" w:eastAsia="仿宋_GB2312"/>
          <w:color w:val="auto"/>
          <w:sz w:val="32"/>
          <w:szCs w:val="32"/>
        </w:rPr>
        <w:t>(bams.shansteelgroup.com)</w:t>
      </w:r>
      <w:r>
        <w:rPr>
          <w:rFonts w:hint="eastAsia" w:ascii="仿宋_GB2312" w:hAnsi="Calibri" w:eastAsia="仿宋_GB2312" w:cs="Times New Roman"/>
          <w:color w:val="auto"/>
          <w:sz w:val="32"/>
          <w:szCs w:val="32"/>
        </w:rPr>
        <w:t>用注册的用户名查找是否有招标澄清或补充文件及现场澄清通知等信息，招标人不再单独通知，怠于登陆造成的后果由潜在投保人承担。</w:t>
      </w:r>
    </w:p>
    <w:p w14:paraId="60B0B40C">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s="宋体"/>
          <w:color w:val="auto"/>
          <w:kern w:val="0"/>
          <w:sz w:val="32"/>
          <w:szCs w:val="32"/>
        </w:rPr>
      </w:pPr>
      <w:r>
        <w:rPr>
          <w:rFonts w:hint="eastAsia" w:ascii="黑体" w:hAnsi="黑体" w:eastAsia="黑体" w:cs="宋体"/>
          <w:color w:val="auto"/>
          <w:kern w:val="0"/>
          <w:sz w:val="32"/>
          <w:szCs w:val="32"/>
        </w:rPr>
        <w:t>十</w:t>
      </w:r>
      <w:r>
        <w:rPr>
          <w:rFonts w:hint="eastAsia" w:ascii="黑体" w:hAnsi="黑体" w:eastAsia="黑体" w:cs="宋体"/>
          <w:color w:val="auto"/>
          <w:kern w:val="0"/>
          <w:sz w:val="32"/>
          <w:szCs w:val="32"/>
          <w:lang w:val="en-US" w:eastAsia="zh-CN"/>
        </w:rPr>
        <w:t>三</w:t>
      </w:r>
      <w:r>
        <w:rPr>
          <w:rFonts w:hint="eastAsia" w:ascii="黑体" w:hAnsi="黑体" w:eastAsia="黑体" w:cs="宋体"/>
          <w:color w:val="auto"/>
          <w:kern w:val="0"/>
          <w:sz w:val="32"/>
          <w:szCs w:val="32"/>
        </w:rPr>
        <w:t>、招标人联系地址、联系人及联系方式</w:t>
      </w:r>
    </w:p>
    <w:p w14:paraId="3796B83D">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Calibri" w:eastAsia="仿宋_GB2312" w:cs="Times New Roman"/>
          <w:color w:val="auto"/>
          <w:sz w:val="32"/>
          <w:szCs w:val="32"/>
        </w:rPr>
        <w:t>联系地址：</w:t>
      </w:r>
      <w:r>
        <w:rPr>
          <w:rFonts w:hint="eastAsia" w:ascii="仿宋_GB2312" w:eastAsia="仿宋_GB2312" w:cs="Times New Roman"/>
          <w:color w:val="auto"/>
          <w:sz w:val="32"/>
          <w:szCs w:val="32"/>
          <w:lang w:val="en-US" w:eastAsia="zh-CN"/>
        </w:rPr>
        <w:t>招标中心</w:t>
      </w:r>
    </w:p>
    <w:p w14:paraId="704A0DC1">
      <w:pPr>
        <w:keepNext w:val="0"/>
        <w:keepLines w:val="0"/>
        <w:pageBreakBefore w:val="0"/>
        <w:kinsoku/>
        <w:wordWrap/>
        <w:overflowPunct/>
        <w:topLinePunct w:val="0"/>
        <w:autoSpaceDE/>
        <w:autoSpaceDN/>
        <w:bidi w:val="0"/>
        <w:snapToGrid w:val="0"/>
        <w:spacing w:line="560" w:lineRule="exact"/>
        <w:ind w:firstLine="640" w:firstLineChars="200"/>
        <w:jc w:val="left"/>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招标项目联系人：</w:t>
      </w:r>
      <w:r>
        <w:rPr>
          <w:rFonts w:hint="eastAsia" w:ascii="仿宋_GB2312" w:hAnsi="仿宋_GB2312" w:eastAsia="仿宋_GB2312" w:cs="仿宋_GB2312"/>
          <w:color w:val="auto"/>
          <w:sz w:val="32"/>
          <w:szCs w:val="32"/>
          <w:lang w:val="en-US" w:eastAsia="zh-CN"/>
        </w:rPr>
        <w:t>衣先生   0531-76829369</w:t>
      </w:r>
    </w:p>
    <w:p w14:paraId="226EC845">
      <w:pPr>
        <w:keepNext w:val="0"/>
        <w:keepLines w:val="0"/>
        <w:pageBreakBefore w:val="0"/>
        <w:kinsoku/>
        <w:wordWrap/>
        <w:overflowPunct/>
        <w:topLinePunct w:val="0"/>
        <w:autoSpaceDE/>
        <w:autoSpaceDN/>
        <w:bidi w:val="0"/>
        <w:spacing w:line="560" w:lineRule="exact"/>
        <w:ind w:firstLine="640" w:firstLineChars="200"/>
        <w:jc w:val="lef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招标平台联系人：宋先生   0531-76923171</w:t>
      </w:r>
    </w:p>
    <w:p w14:paraId="7EC8FAAC">
      <w:pPr>
        <w:pStyle w:val="6"/>
        <w:widowControl/>
        <w:adjustRightInd w:val="0"/>
        <w:snapToGrid w:val="0"/>
        <w:spacing w:beforeLines="50" w:beforeAutospacing="0" w:afterLines="50" w:afterAutospacing="0"/>
        <w:ind w:firstLine="640" w:firstLineChars="200"/>
        <w:jc w:val="both"/>
        <w:rPr>
          <w:rFonts w:ascii="黑体" w:hAnsi="黑体" w:eastAsia="黑体" w:cs="宋体"/>
          <w:sz w:val="32"/>
          <w:szCs w:val="32"/>
        </w:rPr>
      </w:pPr>
      <w:r>
        <w:rPr>
          <w:rFonts w:hint="eastAsia" w:ascii="黑体" w:hAnsi="黑体" w:eastAsia="黑体" w:cs="宋体"/>
          <w:sz w:val="32"/>
          <w:szCs w:val="32"/>
        </w:rPr>
        <w:t>十</w:t>
      </w:r>
      <w:r>
        <w:rPr>
          <w:rFonts w:hint="eastAsia" w:ascii="黑体" w:hAnsi="黑体" w:eastAsia="黑体" w:cs="宋体"/>
          <w:sz w:val="32"/>
          <w:szCs w:val="32"/>
          <w:lang w:eastAsia="zh-CN"/>
        </w:rPr>
        <w:t>四</w:t>
      </w:r>
      <w:r>
        <w:rPr>
          <w:rFonts w:hint="eastAsia" w:ascii="黑体" w:hAnsi="黑体" w:eastAsia="黑体" w:cs="宋体"/>
          <w:sz w:val="32"/>
          <w:szCs w:val="32"/>
        </w:rPr>
        <w:t>、投标有关表格</w:t>
      </w:r>
    </w:p>
    <w:p w14:paraId="1FBCF74E">
      <w:pPr>
        <w:tabs>
          <w:tab w:val="left" w:pos="993"/>
        </w:tabs>
        <w:spacing w:beforeLines="50" w:afterLines="50"/>
        <w:ind w:firstLine="640" w:firstLineChars="200"/>
        <w:rPr>
          <w:rFonts w:ascii="仿宋_GB2312" w:hAnsi="宋体" w:eastAsia="仿宋_GB2312"/>
          <w:b/>
          <w:sz w:val="32"/>
          <w:szCs w:val="32"/>
        </w:rPr>
      </w:pPr>
      <w:r>
        <w:rPr>
          <w:rFonts w:hint="eastAsia" w:ascii="楷体_GB2312" w:hAnsi="黑体" w:eastAsia="楷体_GB2312"/>
          <w:b w:val="0"/>
          <w:bCs w:val="0"/>
          <w:sz w:val="32"/>
          <w:szCs w:val="32"/>
        </w:rPr>
        <w:t>附表1、</w:t>
      </w:r>
      <w:r>
        <w:rPr>
          <w:rFonts w:hint="eastAsia" w:ascii="仿宋_GB2312" w:hAnsi="宋体" w:eastAsia="仿宋_GB2312"/>
          <w:b w:val="0"/>
          <w:bCs w:val="0"/>
          <w:sz w:val="32"/>
          <w:szCs w:val="32"/>
        </w:rPr>
        <w:t>报价表</w:t>
      </w:r>
    </w:p>
    <w:p w14:paraId="79EED6BD">
      <w:pPr>
        <w:tabs>
          <w:tab w:val="left" w:pos="993"/>
        </w:tabs>
        <w:spacing w:beforeLines="50" w:afterLines="50"/>
        <w:ind w:firstLine="643" w:firstLineChars="200"/>
        <w:jc w:val="right"/>
        <w:rPr>
          <w:rFonts w:ascii="仿宋_GB2312" w:eastAsia="仿宋_GB2312"/>
          <w:sz w:val="32"/>
          <w:szCs w:val="32"/>
        </w:rPr>
      </w:pPr>
      <w:r>
        <w:rPr>
          <w:rFonts w:hint="eastAsia" w:ascii="仿宋_GB2312" w:hAnsi="宋体" w:eastAsia="仿宋_GB2312"/>
          <w:b/>
          <w:sz w:val="32"/>
          <w:szCs w:val="32"/>
          <w:lang w:val="en-US" w:eastAsia="zh-CN"/>
        </w:rPr>
        <w:t xml:space="preserve"> </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山东钢铁股份有限公司</w:t>
      </w:r>
    </w:p>
    <w:p w14:paraId="3E51F86C">
      <w:pPr>
        <w:tabs>
          <w:tab w:val="left" w:pos="993"/>
        </w:tabs>
        <w:spacing w:line="560" w:lineRule="exact"/>
        <w:ind w:firstLine="4480" w:firstLineChars="1400"/>
        <w:jc w:val="right"/>
        <w:rPr>
          <w:rFonts w:hint="eastAsia" w:ascii="宋体" w:hAnsi="宋体" w:cs="宋体"/>
          <w:b/>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27</w:t>
      </w:r>
      <w:r>
        <w:rPr>
          <w:rFonts w:hint="eastAsia" w:ascii="仿宋_GB2312" w:hAnsi="宋体" w:eastAsia="仿宋_GB2312" w:cs="宋体"/>
          <w:sz w:val="32"/>
          <w:szCs w:val="32"/>
        </w:rPr>
        <w:t>日</w:t>
      </w:r>
    </w:p>
    <w:p w14:paraId="7255972E">
      <w:pPr>
        <w:tabs>
          <w:tab w:val="left" w:pos="993"/>
        </w:tabs>
        <w:spacing w:line="520" w:lineRule="exact"/>
        <w:rPr>
          <w:rFonts w:hint="eastAsia" w:ascii="宋体" w:hAnsi="宋体" w:cs="宋体"/>
          <w:b/>
          <w:sz w:val="32"/>
          <w:szCs w:val="32"/>
        </w:rPr>
      </w:pPr>
    </w:p>
    <w:p w14:paraId="5FD341B7">
      <w:pPr>
        <w:tabs>
          <w:tab w:val="left" w:pos="1275"/>
        </w:tabs>
        <w:rPr>
          <w:rFonts w:hint="eastAsia" w:ascii="黑体" w:hAnsi="Times New Roman" w:eastAsia="黑体"/>
          <w:sz w:val="32"/>
          <w:szCs w:val="32"/>
        </w:rPr>
      </w:pPr>
    </w:p>
    <w:p w14:paraId="502178CE">
      <w:pPr>
        <w:tabs>
          <w:tab w:val="left" w:pos="1275"/>
        </w:tabs>
        <w:rPr>
          <w:rFonts w:ascii="黑体" w:hAnsi="Times New Roman" w:eastAsia="黑体"/>
          <w:sz w:val="32"/>
          <w:szCs w:val="32"/>
        </w:rPr>
      </w:pPr>
      <w:r>
        <w:rPr>
          <w:rFonts w:hint="eastAsia" w:ascii="黑体" w:hAnsi="Times New Roman" w:eastAsia="黑体"/>
          <w:sz w:val="32"/>
          <w:szCs w:val="32"/>
        </w:rPr>
        <w:t>附件</w:t>
      </w:r>
      <w:r>
        <w:rPr>
          <w:rFonts w:hint="eastAsia" w:ascii="黑体" w:hAnsi="Times New Roman" w:eastAsia="黑体"/>
          <w:sz w:val="32"/>
          <w:szCs w:val="32"/>
          <w:lang w:val="en-US" w:eastAsia="zh-CN"/>
        </w:rPr>
        <w:t>1</w:t>
      </w:r>
      <w:r>
        <w:rPr>
          <w:rFonts w:hint="eastAsia" w:ascii="黑体" w:hAnsi="Times New Roman" w:eastAsia="黑体"/>
          <w:sz w:val="32"/>
          <w:szCs w:val="32"/>
        </w:rPr>
        <w:t>：报价表</w:t>
      </w:r>
    </w:p>
    <w:p w14:paraId="2EF77932">
      <w:pPr>
        <w:jc w:val="center"/>
        <w:rPr>
          <w:b w:val="0"/>
          <w:bCs/>
          <w:sz w:val="32"/>
          <w:szCs w:val="32"/>
        </w:rPr>
      </w:pPr>
      <w:r>
        <w:rPr>
          <w:rFonts w:hint="eastAsia"/>
          <w:b w:val="0"/>
          <w:bCs/>
          <w:sz w:val="32"/>
          <w:szCs w:val="32"/>
        </w:rPr>
        <w:t>大宗原燃料</w:t>
      </w:r>
      <w:r>
        <w:rPr>
          <w:rFonts w:hint="eastAsia"/>
          <w:b w:val="0"/>
          <w:bCs/>
          <w:sz w:val="32"/>
          <w:szCs w:val="32"/>
          <w:lang w:eastAsia="zh-CN"/>
        </w:rPr>
        <w:t>（</w:t>
      </w:r>
      <w:r>
        <w:rPr>
          <w:rFonts w:hint="eastAsia"/>
          <w:b w:val="0"/>
          <w:bCs/>
          <w:sz w:val="32"/>
          <w:szCs w:val="32"/>
          <w:lang w:val="en-US" w:eastAsia="zh-CN"/>
        </w:rPr>
        <w:t>港口进口矿）</w:t>
      </w:r>
      <w:r>
        <w:rPr>
          <w:rFonts w:hint="eastAsia"/>
          <w:b w:val="0"/>
          <w:bCs/>
          <w:sz w:val="32"/>
          <w:szCs w:val="32"/>
        </w:rPr>
        <w:t>汽车运输报价表</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45"/>
        <w:gridCol w:w="3412"/>
        <w:gridCol w:w="1066"/>
        <w:gridCol w:w="979"/>
        <w:gridCol w:w="859"/>
      </w:tblGrid>
      <w:tr w14:paraId="3B58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7" w:type="pct"/>
            <w:vAlign w:val="center"/>
          </w:tcPr>
          <w:p w14:paraId="3C3F7925">
            <w:pPr>
              <w:tabs>
                <w:tab w:val="left" w:pos="1275"/>
              </w:tabs>
              <w:jc w:val="center"/>
              <w:rPr>
                <w:rFonts w:ascii="仿宋_GB2312" w:eastAsia="仿宋_GB2312"/>
                <w:sz w:val="24"/>
              </w:rPr>
            </w:pPr>
            <w:r>
              <w:rPr>
                <w:rFonts w:hint="eastAsia" w:ascii="仿宋_GB2312" w:eastAsia="仿宋_GB2312"/>
                <w:sz w:val="24"/>
              </w:rPr>
              <w:t>序号</w:t>
            </w:r>
          </w:p>
        </w:tc>
        <w:tc>
          <w:tcPr>
            <w:tcW w:w="1025" w:type="pct"/>
            <w:vAlign w:val="center"/>
          </w:tcPr>
          <w:p w14:paraId="6C0833A5">
            <w:pPr>
              <w:tabs>
                <w:tab w:val="left" w:pos="1275"/>
              </w:tabs>
              <w:jc w:val="center"/>
              <w:rPr>
                <w:rFonts w:ascii="仿宋_GB2312" w:eastAsia="仿宋_GB2312"/>
                <w:sz w:val="24"/>
              </w:rPr>
            </w:pPr>
            <w:r>
              <w:rPr>
                <w:rFonts w:hint="eastAsia" w:ascii="仿宋_GB2312" w:eastAsia="仿宋_GB2312"/>
                <w:sz w:val="24"/>
              </w:rPr>
              <w:t>发货地点</w:t>
            </w:r>
          </w:p>
        </w:tc>
        <w:tc>
          <w:tcPr>
            <w:tcW w:w="2003" w:type="pct"/>
            <w:vAlign w:val="center"/>
          </w:tcPr>
          <w:p w14:paraId="7C1A8728">
            <w:pPr>
              <w:tabs>
                <w:tab w:val="left" w:pos="1275"/>
              </w:tabs>
              <w:jc w:val="center"/>
              <w:rPr>
                <w:rFonts w:ascii="仿宋_GB2312" w:eastAsia="仿宋_GB2312"/>
                <w:sz w:val="24"/>
              </w:rPr>
            </w:pPr>
            <w:r>
              <w:rPr>
                <w:rFonts w:hint="eastAsia" w:ascii="仿宋_GB2312" w:eastAsia="仿宋_GB2312"/>
                <w:sz w:val="24"/>
              </w:rPr>
              <w:t>收货地点</w:t>
            </w:r>
          </w:p>
        </w:tc>
        <w:tc>
          <w:tcPr>
            <w:tcW w:w="626" w:type="pct"/>
            <w:vAlign w:val="center"/>
          </w:tcPr>
          <w:p w14:paraId="35908428">
            <w:pPr>
              <w:tabs>
                <w:tab w:val="left" w:pos="1275"/>
              </w:tabs>
              <w:jc w:val="center"/>
              <w:rPr>
                <w:rFonts w:hint="default" w:ascii="仿宋_GB2312" w:eastAsia="仿宋_GB2312"/>
                <w:sz w:val="24"/>
                <w:lang w:val="en-US" w:eastAsia="zh-CN"/>
              </w:rPr>
            </w:pPr>
            <w:r>
              <w:rPr>
                <w:rFonts w:hint="eastAsia" w:ascii="仿宋_GB2312" w:eastAsia="仿宋_GB2312"/>
                <w:sz w:val="24"/>
                <w:lang w:val="en-US" w:eastAsia="zh-CN"/>
              </w:rPr>
              <w:t>报价</w:t>
            </w:r>
          </w:p>
        </w:tc>
        <w:tc>
          <w:tcPr>
            <w:tcW w:w="575" w:type="pct"/>
            <w:vAlign w:val="center"/>
          </w:tcPr>
          <w:p w14:paraId="10B44561">
            <w:pPr>
              <w:tabs>
                <w:tab w:val="left" w:pos="1275"/>
              </w:tabs>
              <w:jc w:val="center"/>
              <w:rPr>
                <w:rFonts w:hint="default" w:ascii="仿宋_GB2312" w:eastAsia="仿宋_GB2312"/>
                <w:sz w:val="24"/>
                <w:lang w:val="en-US" w:eastAsia="zh-CN"/>
              </w:rPr>
            </w:pPr>
            <w:r>
              <w:rPr>
                <w:rFonts w:hint="eastAsia" w:ascii="仿宋_GB2312" w:eastAsia="仿宋_GB2312"/>
                <w:sz w:val="24"/>
                <w:lang w:val="en-US" w:eastAsia="zh-CN"/>
              </w:rPr>
              <w:t>拦标价</w:t>
            </w:r>
          </w:p>
        </w:tc>
        <w:tc>
          <w:tcPr>
            <w:tcW w:w="501" w:type="pct"/>
            <w:vAlign w:val="center"/>
          </w:tcPr>
          <w:p w14:paraId="1BF58D0B">
            <w:pPr>
              <w:tabs>
                <w:tab w:val="left" w:pos="1275"/>
              </w:tabs>
              <w:jc w:val="center"/>
              <w:rPr>
                <w:rFonts w:hint="default" w:ascii="仿宋_GB2312" w:eastAsia="仿宋_GB2312"/>
                <w:sz w:val="24"/>
                <w:lang w:val="en-US" w:eastAsia="zh-CN"/>
              </w:rPr>
            </w:pPr>
            <w:r>
              <w:rPr>
                <w:rFonts w:hint="eastAsia" w:ascii="仿宋_GB2312" w:eastAsia="仿宋_GB2312"/>
                <w:sz w:val="24"/>
                <w:lang w:val="en-US" w:eastAsia="zh-CN"/>
              </w:rPr>
              <w:t>备注</w:t>
            </w:r>
          </w:p>
        </w:tc>
      </w:tr>
      <w:tr w14:paraId="0083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267" w:type="pct"/>
            <w:vAlign w:val="center"/>
          </w:tcPr>
          <w:p w14:paraId="7226132D">
            <w:pPr>
              <w:tabs>
                <w:tab w:val="left" w:pos="1275"/>
              </w:tabs>
              <w:jc w:val="center"/>
              <w:rPr>
                <w:rFonts w:ascii="仿宋_GB2312" w:eastAsia="仿宋_GB2312"/>
                <w:sz w:val="24"/>
              </w:rPr>
            </w:pPr>
            <w:r>
              <w:rPr>
                <w:rFonts w:hint="eastAsia" w:ascii="仿宋_GB2312" w:eastAsia="仿宋_GB2312"/>
                <w:sz w:val="24"/>
              </w:rPr>
              <w:t>1</w:t>
            </w:r>
          </w:p>
        </w:tc>
        <w:tc>
          <w:tcPr>
            <w:tcW w:w="1025" w:type="pct"/>
            <w:vAlign w:val="center"/>
          </w:tcPr>
          <w:p w14:paraId="15F00F94">
            <w:pPr>
              <w:tabs>
                <w:tab w:val="left" w:pos="1275"/>
              </w:tabs>
              <w:jc w:val="center"/>
              <w:rPr>
                <w:rFonts w:hint="default" w:ascii="仿宋_GB2312" w:eastAsia="仿宋_GB2312"/>
                <w:sz w:val="24"/>
                <w:lang w:val="en-US" w:eastAsia="zh-CN"/>
              </w:rPr>
            </w:pPr>
            <w:r>
              <w:rPr>
                <w:rFonts w:hint="eastAsia" w:ascii="仿宋_GB2312" w:eastAsia="仿宋_GB2312"/>
                <w:sz w:val="24"/>
              </w:rPr>
              <w:t>日照港</w:t>
            </w:r>
            <w:r>
              <w:rPr>
                <w:rFonts w:hint="eastAsia" w:ascii="仿宋_GB2312" w:eastAsia="仿宋_GB2312"/>
                <w:sz w:val="24"/>
                <w:lang w:eastAsia="zh-CN"/>
              </w:rPr>
              <w:t>、</w:t>
            </w:r>
            <w:r>
              <w:rPr>
                <w:rFonts w:hint="eastAsia" w:ascii="仿宋_GB2312" w:eastAsia="仿宋_GB2312"/>
                <w:sz w:val="24"/>
                <w:lang w:val="en-US" w:eastAsia="zh-CN"/>
              </w:rPr>
              <w:t>岚山港、岚桥港</w:t>
            </w:r>
          </w:p>
        </w:tc>
        <w:tc>
          <w:tcPr>
            <w:tcW w:w="2003" w:type="pct"/>
            <w:vAlign w:val="center"/>
          </w:tcPr>
          <w:p w14:paraId="31C6046B">
            <w:pPr>
              <w:tabs>
                <w:tab w:val="left" w:pos="1275"/>
              </w:tabs>
              <w:jc w:val="center"/>
              <w:rPr>
                <w:rFonts w:hint="default" w:ascii="仿宋_GB2312" w:eastAsia="仿宋_GB2312"/>
                <w:sz w:val="24"/>
                <w:lang w:val="en-US" w:eastAsia="zh-CN"/>
              </w:rPr>
            </w:pPr>
            <w:r>
              <w:rPr>
                <w:rFonts w:hint="eastAsia" w:ascii="仿宋_GB2312" w:eastAsia="仿宋_GB2312"/>
                <w:sz w:val="24"/>
                <w:lang w:val="en-US" w:eastAsia="zh-CN"/>
              </w:rPr>
              <w:t>山东钢铁股份有限公司（济南市钢城区)</w:t>
            </w:r>
          </w:p>
        </w:tc>
        <w:tc>
          <w:tcPr>
            <w:tcW w:w="626" w:type="pct"/>
            <w:vAlign w:val="center"/>
          </w:tcPr>
          <w:p w14:paraId="0E920106">
            <w:pPr>
              <w:tabs>
                <w:tab w:val="left" w:pos="1275"/>
              </w:tabs>
              <w:jc w:val="center"/>
              <w:rPr>
                <w:rFonts w:ascii="仿宋_GB2312" w:eastAsia="仿宋_GB2312"/>
                <w:sz w:val="24"/>
              </w:rPr>
            </w:pPr>
          </w:p>
        </w:tc>
        <w:tc>
          <w:tcPr>
            <w:tcW w:w="575" w:type="pct"/>
            <w:vAlign w:val="center"/>
          </w:tcPr>
          <w:p w14:paraId="4703483D">
            <w:pPr>
              <w:tabs>
                <w:tab w:val="left" w:pos="1275"/>
              </w:tabs>
              <w:jc w:val="center"/>
              <w:rPr>
                <w:rFonts w:hint="default" w:ascii="仿宋_GB2312" w:eastAsia="仿宋_GB2312"/>
                <w:sz w:val="24"/>
                <w:lang w:val="en-US" w:eastAsia="zh-CN"/>
              </w:rPr>
            </w:pPr>
            <w:r>
              <w:rPr>
                <w:rFonts w:hint="eastAsia" w:ascii="仿宋_GB2312" w:eastAsia="仿宋_GB2312"/>
                <w:sz w:val="24"/>
                <w:highlight w:val="none"/>
                <w:lang w:val="en-US" w:eastAsia="zh-CN"/>
              </w:rPr>
              <w:t>54.8</w:t>
            </w:r>
          </w:p>
        </w:tc>
        <w:tc>
          <w:tcPr>
            <w:tcW w:w="501" w:type="pct"/>
            <w:vAlign w:val="center"/>
          </w:tcPr>
          <w:p w14:paraId="456ADC99">
            <w:pPr>
              <w:tabs>
                <w:tab w:val="left" w:pos="1275"/>
              </w:tabs>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油车</w:t>
            </w:r>
          </w:p>
        </w:tc>
      </w:tr>
      <w:tr w14:paraId="5DA86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267" w:type="pct"/>
            <w:vAlign w:val="center"/>
          </w:tcPr>
          <w:p w14:paraId="18821185">
            <w:pPr>
              <w:tabs>
                <w:tab w:val="left" w:pos="1275"/>
              </w:tabs>
              <w:jc w:val="center"/>
              <w:rPr>
                <w:rFonts w:hint="eastAsia" w:ascii="仿宋_GB2312" w:eastAsia="仿宋_GB2312"/>
                <w:sz w:val="24"/>
                <w:lang w:val="en-US" w:eastAsia="zh-CN"/>
              </w:rPr>
            </w:pPr>
            <w:r>
              <w:rPr>
                <w:rFonts w:hint="eastAsia" w:ascii="仿宋_GB2312" w:eastAsia="仿宋_GB2312"/>
                <w:sz w:val="24"/>
                <w:lang w:val="en-US" w:eastAsia="zh-CN"/>
              </w:rPr>
              <w:t>2</w:t>
            </w:r>
          </w:p>
        </w:tc>
        <w:tc>
          <w:tcPr>
            <w:tcW w:w="1025" w:type="pct"/>
            <w:shd w:val="clear" w:color="auto" w:fill="auto"/>
            <w:vAlign w:val="center"/>
          </w:tcPr>
          <w:p w14:paraId="693F0976">
            <w:pPr>
              <w:tabs>
                <w:tab w:val="left" w:pos="1275"/>
              </w:tabs>
              <w:jc w:val="center"/>
              <w:rPr>
                <w:rFonts w:hint="eastAsia" w:ascii="仿宋_GB2312" w:hAnsi="Calibri" w:eastAsia="仿宋_GB2312" w:cs="Times New Roman"/>
                <w:kern w:val="2"/>
                <w:sz w:val="24"/>
                <w:szCs w:val="24"/>
                <w:lang w:val="en-US" w:eastAsia="zh-CN" w:bidi="ar-SA"/>
              </w:rPr>
            </w:pPr>
            <w:r>
              <w:rPr>
                <w:rFonts w:hint="eastAsia" w:ascii="仿宋_GB2312" w:eastAsia="仿宋_GB2312"/>
                <w:sz w:val="24"/>
              </w:rPr>
              <w:t>日照港</w:t>
            </w:r>
            <w:r>
              <w:rPr>
                <w:rFonts w:hint="eastAsia" w:ascii="仿宋_GB2312" w:eastAsia="仿宋_GB2312"/>
                <w:sz w:val="24"/>
                <w:lang w:eastAsia="zh-CN"/>
              </w:rPr>
              <w:t>、</w:t>
            </w:r>
            <w:r>
              <w:rPr>
                <w:rFonts w:hint="eastAsia" w:ascii="仿宋_GB2312" w:eastAsia="仿宋_GB2312"/>
                <w:sz w:val="24"/>
                <w:lang w:val="en-US" w:eastAsia="zh-CN"/>
              </w:rPr>
              <w:t>岚山港、岚桥港</w:t>
            </w:r>
          </w:p>
        </w:tc>
        <w:tc>
          <w:tcPr>
            <w:tcW w:w="2003" w:type="pct"/>
            <w:shd w:val="clear" w:color="auto" w:fill="auto"/>
            <w:vAlign w:val="center"/>
          </w:tcPr>
          <w:p w14:paraId="401605C7">
            <w:pPr>
              <w:tabs>
                <w:tab w:val="left" w:pos="1275"/>
              </w:tabs>
              <w:jc w:val="center"/>
              <w:rPr>
                <w:rFonts w:hint="eastAsia" w:ascii="仿宋_GB2312" w:hAnsi="Calibri" w:eastAsia="仿宋_GB2312" w:cs="Times New Roman"/>
                <w:kern w:val="2"/>
                <w:sz w:val="24"/>
                <w:szCs w:val="24"/>
                <w:lang w:val="en-US" w:eastAsia="zh-CN" w:bidi="ar-SA"/>
              </w:rPr>
            </w:pPr>
            <w:r>
              <w:rPr>
                <w:rFonts w:hint="eastAsia" w:ascii="仿宋_GB2312" w:eastAsia="仿宋_GB2312"/>
                <w:sz w:val="24"/>
                <w:lang w:val="en-US" w:eastAsia="zh-CN"/>
              </w:rPr>
              <w:t>山东钢铁股份有限公司（济南市钢城区)</w:t>
            </w:r>
          </w:p>
        </w:tc>
        <w:tc>
          <w:tcPr>
            <w:tcW w:w="626" w:type="pct"/>
            <w:vAlign w:val="center"/>
          </w:tcPr>
          <w:p w14:paraId="495E7804">
            <w:pPr>
              <w:tabs>
                <w:tab w:val="left" w:pos="1275"/>
              </w:tabs>
              <w:jc w:val="center"/>
              <w:rPr>
                <w:rFonts w:ascii="仿宋_GB2312" w:eastAsia="仿宋_GB2312"/>
                <w:sz w:val="24"/>
              </w:rPr>
            </w:pPr>
          </w:p>
        </w:tc>
        <w:tc>
          <w:tcPr>
            <w:tcW w:w="575" w:type="pct"/>
            <w:vAlign w:val="center"/>
          </w:tcPr>
          <w:p w14:paraId="1300A273">
            <w:pPr>
              <w:tabs>
                <w:tab w:val="left" w:pos="1275"/>
              </w:tabs>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54.8</w:t>
            </w:r>
          </w:p>
        </w:tc>
        <w:tc>
          <w:tcPr>
            <w:tcW w:w="501" w:type="pct"/>
            <w:vAlign w:val="center"/>
          </w:tcPr>
          <w:p w14:paraId="33221FB3">
            <w:pPr>
              <w:tabs>
                <w:tab w:val="left" w:pos="1275"/>
              </w:tabs>
              <w:jc w:val="center"/>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电车</w:t>
            </w:r>
          </w:p>
        </w:tc>
      </w:tr>
      <w:tr w14:paraId="6D5C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5000" w:type="pct"/>
            <w:gridSpan w:val="6"/>
            <w:vAlign w:val="center"/>
          </w:tcPr>
          <w:p w14:paraId="11A0648D">
            <w:pPr>
              <w:tabs>
                <w:tab w:val="left" w:pos="1275"/>
              </w:tabs>
              <w:jc w:val="center"/>
              <w:rPr>
                <w:rFonts w:hint="eastAsia" w:ascii="仿宋_GB2312" w:eastAsia="仿宋_GB2312"/>
                <w:b w:val="0"/>
                <w:bCs w:val="0"/>
                <w:sz w:val="24"/>
              </w:rPr>
            </w:pPr>
            <w:r>
              <w:rPr>
                <w:rFonts w:hint="eastAsia" w:ascii="仿宋_GB2312" w:eastAsia="仿宋_GB2312"/>
                <w:b w:val="0"/>
                <w:bCs w:val="0"/>
                <w:sz w:val="24"/>
              </w:rPr>
              <w:t>投标报价</w:t>
            </w:r>
            <w:r>
              <w:rPr>
                <w:rFonts w:hint="eastAsia" w:ascii="仿宋_GB2312" w:eastAsia="仿宋_GB2312"/>
                <w:b w:val="0"/>
                <w:bCs w:val="0"/>
                <w:sz w:val="24"/>
                <w:lang w:val="en-US" w:eastAsia="zh-CN"/>
              </w:rPr>
              <w:t>含税</w:t>
            </w:r>
            <w:r>
              <w:rPr>
                <w:rFonts w:hint="eastAsia" w:ascii="仿宋_GB2312" w:eastAsia="仿宋_GB2312"/>
                <w:b w:val="0"/>
                <w:bCs w:val="0"/>
                <w:sz w:val="24"/>
              </w:rPr>
              <w:t>价格</w:t>
            </w:r>
            <w:r>
              <w:rPr>
                <w:rFonts w:hint="eastAsia" w:ascii="仿宋_GB2312" w:eastAsia="仿宋_GB2312"/>
                <w:b w:val="0"/>
                <w:bCs w:val="0"/>
                <w:sz w:val="24"/>
                <w:lang w:val="en-US" w:eastAsia="zh-CN"/>
              </w:rPr>
              <w:t>,</w:t>
            </w:r>
            <w:r>
              <w:rPr>
                <w:rFonts w:hint="eastAsia" w:ascii="仿宋_GB2312" w:eastAsia="仿宋_GB2312"/>
                <w:b w:val="0"/>
                <w:bCs w:val="0"/>
                <w:sz w:val="24"/>
              </w:rPr>
              <w:t>单位为：元/吨</w:t>
            </w:r>
            <w:r>
              <w:rPr>
                <w:rFonts w:hint="eastAsia" w:ascii="仿宋_GB2312" w:eastAsia="仿宋_GB2312"/>
                <w:b w:val="0"/>
                <w:bCs w:val="0"/>
                <w:sz w:val="24"/>
                <w:lang w:eastAsia="zh-CN"/>
              </w:rPr>
              <w:t>，税</w:t>
            </w:r>
            <w:r>
              <w:rPr>
                <w:rFonts w:hint="eastAsia" w:ascii="仿宋_GB2312" w:eastAsia="仿宋_GB2312"/>
                <w:b w:val="0"/>
                <w:bCs w:val="0"/>
                <w:sz w:val="24"/>
                <w:lang w:val="en-US" w:eastAsia="zh-CN"/>
              </w:rPr>
              <w:t>率9%</w:t>
            </w:r>
            <w:r>
              <w:rPr>
                <w:rFonts w:hint="eastAsia" w:ascii="仿宋_GB2312" w:eastAsia="仿宋_GB2312"/>
                <w:b w:val="0"/>
                <w:bCs w:val="0"/>
                <w:sz w:val="24"/>
                <w:lang w:eastAsia="zh-CN"/>
              </w:rPr>
              <w:t>。</w:t>
            </w:r>
          </w:p>
        </w:tc>
      </w:tr>
    </w:tbl>
    <w:p w14:paraId="777C3F6A"/>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4628F">
    <w:pPr>
      <w:pStyle w:val="5"/>
      <w:jc w:val="both"/>
      <w:rPr>
        <w:rFonts w:ascii="楷体_GB2312" w:hAnsi="宋体" w:eastAsia="楷体_GB2312" w:cs="楷体_GB2312"/>
        <w:b/>
        <w:bCs/>
        <w:i/>
        <w:iCs/>
        <w:sz w:val="24"/>
        <w:szCs w:val="24"/>
      </w:rPr>
    </w:pPr>
    <w:r>
      <w:rPr>
        <w:rFonts w:ascii="宋体"/>
        <w:b/>
        <w:bCs/>
        <w:sz w:val="36"/>
        <w:szCs w:val="36"/>
      </w:rPr>
      <w:drawing>
        <wp:inline distT="0" distB="0" distL="0" distR="0">
          <wp:extent cx="323850" cy="342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23850" cy="342900"/>
                  </a:xfrm>
                  <a:prstGeom prst="rect">
                    <a:avLst/>
                  </a:prstGeom>
                  <a:noFill/>
                  <a:ln>
                    <a:noFill/>
                  </a:ln>
                </pic:spPr>
              </pic:pic>
            </a:graphicData>
          </a:graphic>
        </wp:inline>
      </w:drawing>
    </w:r>
    <w:r>
      <w:rPr>
        <w:rFonts w:hint="eastAsia" w:ascii="楷体_GB2312" w:hAnsi="宋体" w:eastAsia="楷体_GB2312" w:cs="楷体_GB2312"/>
        <w:b/>
        <w:bCs/>
        <w:i/>
        <w:iCs/>
        <w:sz w:val="24"/>
        <w:szCs w:val="24"/>
      </w:rPr>
      <w:t>山东钢铁股份有限公司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684D1"/>
    <w:multiLevelType w:val="singleLevel"/>
    <w:tmpl w:val="0A3684D1"/>
    <w:lvl w:ilvl="0" w:tentative="0">
      <w:start w:val="4"/>
      <w:numFmt w:val="chineseCounting"/>
      <w:suff w:val="nothing"/>
      <w:lvlText w:val="（%1）"/>
      <w:lvlJc w:val="left"/>
      <w:pPr>
        <w:ind w:left="0" w:firstLine="420"/>
      </w:pPr>
      <w:rPr>
        <w:rFonts w:hint="eastAsia"/>
      </w:rPr>
    </w:lvl>
  </w:abstractNum>
  <w:abstractNum w:abstractNumId="1">
    <w:nsid w:val="242A0972"/>
    <w:multiLevelType w:val="singleLevel"/>
    <w:tmpl w:val="242A0972"/>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501EE42C"/>
    <w:multiLevelType w:val="singleLevel"/>
    <w:tmpl w:val="501EE42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YTU4MmRhMGI1OTUzOGQ1ZWQ3NmJkODg3YWI5ZDMifQ=="/>
    <w:docVar w:name="KSO_WPS_MARK_KEY" w:val="bf0ef03e-4103-4045-8e8c-f7372daeac8f"/>
  </w:docVars>
  <w:rsids>
    <w:rsidRoot w:val="00AD192E"/>
    <w:rsid w:val="00030EA3"/>
    <w:rsid w:val="00071809"/>
    <w:rsid w:val="000B4697"/>
    <w:rsid w:val="000F3092"/>
    <w:rsid w:val="000F404C"/>
    <w:rsid w:val="00104F8E"/>
    <w:rsid w:val="00121F8E"/>
    <w:rsid w:val="001337B6"/>
    <w:rsid w:val="00135475"/>
    <w:rsid w:val="00167ECD"/>
    <w:rsid w:val="0018346E"/>
    <w:rsid w:val="001A3C1B"/>
    <w:rsid w:val="001B091D"/>
    <w:rsid w:val="001B614D"/>
    <w:rsid w:val="001D1847"/>
    <w:rsid w:val="0022318B"/>
    <w:rsid w:val="00237644"/>
    <w:rsid w:val="0024423A"/>
    <w:rsid w:val="00261599"/>
    <w:rsid w:val="00272CEC"/>
    <w:rsid w:val="00296B12"/>
    <w:rsid w:val="002C5182"/>
    <w:rsid w:val="002C52E0"/>
    <w:rsid w:val="00314C07"/>
    <w:rsid w:val="0034331F"/>
    <w:rsid w:val="003531C1"/>
    <w:rsid w:val="00362D89"/>
    <w:rsid w:val="00364166"/>
    <w:rsid w:val="00374E43"/>
    <w:rsid w:val="00405A09"/>
    <w:rsid w:val="004265C9"/>
    <w:rsid w:val="0044373E"/>
    <w:rsid w:val="00444720"/>
    <w:rsid w:val="00453F1B"/>
    <w:rsid w:val="004559C2"/>
    <w:rsid w:val="00473737"/>
    <w:rsid w:val="00491C9F"/>
    <w:rsid w:val="00493E05"/>
    <w:rsid w:val="00496902"/>
    <w:rsid w:val="004E0FA8"/>
    <w:rsid w:val="004E457F"/>
    <w:rsid w:val="0052395C"/>
    <w:rsid w:val="00581B5C"/>
    <w:rsid w:val="005935EA"/>
    <w:rsid w:val="005C5B19"/>
    <w:rsid w:val="005E33C2"/>
    <w:rsid w:val="005E3962"/>
    <w:rsid w:val="005F14A0"/>
    <w:rsid w:val="005F273D"/>
    <w:rsid w:val="00633A02"/>
    <w:rsid w:val="00644CA4"/>
    <w:rsid w:val="006609AA"/>
    <w:rsid w:val="006707C0"/>
    <w:rsid w:val="00687254"/>
    <w:rsid w:val="006B06BB"/>
    <w:rsid w:val="006B443E"/>
    <w:rsid w:val="006B72A5"/>
    <w:rsid w:val="00705C9A"/>
    <w:rsid w:val="007140EA"/>
    <w:rsid w:val="00716E61"/>
    <w:rsid w:val="00725064"/>
    <w:rsid w:val="007278A5"/>
    <w:rsid w:val="00744D55"/>
    <w:rsid w:val="00753696"/>
    <w:rsid w:val="00762F4E"/>
    <w:rsid w:val="007A6481"/>
    <w:rsid w:val="007C6DA7"/>
    <w:rsid w:val="007E3E16"/>
    <w:rsid w:val="007E79CC"/>
    <w:rsid w:val="007F6C03"/>
    <w:rsid w:val="007F751C"/>
    <w:rsid w:val="008254B8"/>
    <w:rsid w:val="00853C6C"/>
    <w:rsid w:val="00855F14"/>
    <w:rsid w:val="008720EE"/>
    <w:rsid w:val="008C2E6B"/>
    <w:rsid w:val="008C4BFF"/>
    <w:rsid w:val="008D3A2C"/>
    <w:rsid w:val="00914939"/>
    <w:rsid w:val="0091635C"/>
    <w:rsid w:val="009229D4"/>
    <w:rsid w:val="009366F3"/>
    <w:rsid w:val="009441E5"/>
    <w:rsid w:val="00946B10"/>
    <w:rsid w:val="00953328"/>
    <w:rsid w:val="0096635D"/>
    <w:rsid w:val="0097439B"/>
    <w:rsid w:val="00990663"/>
    <w:rsid w:val="009D53D1"/>
    <w:rsid w:val="009D675C"/>
    <w:rsid w:val="009E6486"/>
    <w:rsid w:val="00A12820"/>
    <w:rsid w:val="00A24597"/>
    <w:rsid w:val="00A27CBC"/>
    <w:rsid w:val="00AA2B0B"/>
    <w:rsid w:val="00AD192E"/>
    <w:rsid w:val="00B006CC"/>
    <w:rsid w:val="00B17887"/>
    <w:rsid w:val="00B22117"/>
    <w:rsid w:val="00B25461"/>
    <w:rsid w:val="00B37130"/>
    <w:rsid w:val="00B463DA"/>
    <w:rsid w:val="00B51381"/>
    <w:rsid w:val="00BA5F51"/>
    <w:rsid w:val="00BE64B7"/>
    <w:rsid w:val="00BE6B41"/>
    <w:rsid w:val="00C32BBA"/>
    <w:rsid w:val="00C410BF"/>
    <w:rsid w:val="00C57636"/>
    <w:rsid w:val="00C75E25"/>
    <w:rsid w:val="00C90F7F"/>
    <w:rsid w:val="00CB493C"/>
    <w:rsid w:val="00D16F75"/>
    <w:rsid w:val="00D43596"/>
    <w:rsid w:val="00D50521"/>
    <w:rsid w:val="00D84158"/>
    <w:rsid w:val="00DA5B0E"/>
    <w:rsid w:val="00DB5EDD"/>
    <w:rsid w:val="00DD6269"/>
    <w:rsid w:val="00DE6AA5"/>
    <w:rsid w:val="00DF1221"/>
    <w:rsid w:val="00EA58D1"/>
    <w:rsid w:val="00EB6B25"/>
    <w:rsid w:val="00F0272B"/>
    <w:rsid w:val="00F03378"/>
    <w:rsid w:val="00F178E8"/>
    <w:rsid w:val="00F263B1"/>
    <w:rsid w:val="00F31398"/>
    <w:rsid w:val="00F329BA"/>
    <w:rsid w:val="00F73B43"/>
    <w:rsid w:val="00F82684"/>
    <w:rsid w:val="00FB40BC"/>
    <w:rsid w:val="00FC12F6"/>
    <w:rsid w:val="00FC69D1"/>
    <w:rsid w:val="00FD6672"/>
    <w:rsid w:val="0342159F"/>
    <w:rsid w:val="034B752A"/>
    <w:rsid w:val="03EB3E78"/>
    <w:rsid w:val="079F611A"/>
    <w:rsid w:val="07E307EE"/>
    <w:rsid w:val="087B6B7D"/>
    <w:rsid w:val="0D3540D8"/>
    <w:rsid w:val="131213B5"/>
    <w:rsid w:val="13496AB7"/>
    <w:rsid w:val="198C7AA8"/>
    <w:rsid w:val="1AA2754C"/>
    <w:rsid w:val="1AD61049"/>
    <w:rsid w:val="1C9255FA"/>
    <w:rsid w:val="1EEB7205"/>
    <w:rsid w:val="1FFE5840"/>
    <w:rsid w:val="208C47B5"/>
    <w:rsid w:val="24123963"/>
    <w:rsid w:val="24D4050D"/>
    <w:rsid w:val="252B1E12"/>
    <w:rsid w:val="27C66D50"/>
    <w:rsid w:val="2A1316AD"/>
    <w:rsid w:val="2CB77449"/>
    <w:rsid w:val="2D5815CB"/>
    <w:rsid w:val="2D845DAA"/>
    <w:rsid w:val="2DE7280C"/>
    <w:rsid w:val="31994819"/>
    <w:rsid w:val="32C51ADC"/>
    <w:rsid w:val="334A24AB"/>
    <w:rsid w:val="33AA3711"/>
    <w:rsid w:val="392447D0"/>
    <w:rsid w:val="3A04583F"/>
    <w:rsid w:val="3C0A12C4"/>
    <w:rsid w:val="4295271E"/>
    <w:rsid w:val="443309A5"/>
    <w:rsid w:val="44B14B43"/>
    <w:rsid w:val="46F554E3"/>
    <w:rsid w:val="48761E1F"/>
    <w:rsid w:val="493604FC"/>
    <w:rsid w:val="4C942A2A"/>
    <w:rsid w:val="50775C63"/>
    <w:rsid w:val="568B1031"/>
    <w:rsid w:val="5C93212C"/>
    <w:rsid w:val="60B5352F"/>
    <w:rsid w:val="643D2A1D"/>
    <w:rsid w:val="66F80C8A"/>
    <w:rsid w:val="6B6B024B"/>
    <w:rsid w:val="6B837F39"/>
    <w:rsid w:val="751F2436"/>
    <w:rsid w:val="76446C05"/>
    <w:rsid w:val="77706F73"/>
    <w:rsid w:val="77FB1720"/>
    <w:rsid w:val="7A6C0D6F"/>
    <w:rsid w:val="7A804D93"/>
    <w:rsid w:val="7B0018DF"/>
    <w:rsid w:val="7BD51D02"/>
    <w:rsid w:val="7F1E2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line="580" w:lineRule="atLeast"/>
      <w:textAlignment w:val="baseline"/>
    </w:pPr>
    <w:rPr>
      <w:rFonts w:ascii="仿宋_GB2312" w:eastAsia="仿宋_GB2312"/>
      <w:kern w:val="0"/>
      <w:sz w:val="32"/>
    </w:rPr>
  </w:style>
  <w:style w:type="paragraph" w:styleId="3">
    <w:name w:val="Balloon Text"/>
    <w:basedOn w:val="1"/>
    <w:link w:val="39"/>
    <w:semiHidden/>
    <w:unhideWhenUsed/>
    <w:qFormat/>
    <w:uiPriority w:val="99"/>
    <w:rPr>
      <w:sz w:val="18"/>
      <w:szCs w:val="18"/>
    </w:r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1"/>
    <w:qFormat/>
    <w:uiPriority w:val="0"/>
    <w:pPr>
      <w:ind w:left="200" w:leftChars="200" w:firstLine="42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style>
  <w:style w:type="character" w:styleId="12">
    <w:name w:val="FollowedHyperlink"/>
    <w:basedOn w:val="10"/>
    <w:semiHidden/>
    <w:unhideWhenUsed/>
    <w:qFormat/>
    <w:uiPriority w:val="99"/>
    <w:rPr>
      <w:color w:val="0066CC"/>
      <w:u w:val="none"/>
    </w:rPr>
  </w:style>
  <w:style w:type="character" w:styleId="13">
    <w:name w:val="Emphasis"/>
    <w:basedOn w:val="10"/>
    <w:qFormat/>
    <w:uiPriority w:val="20"/>
  </w:style>
  <w:style w:type="character" w:styleId="14">
    <w:name w:val="HTML Definition"/>
    <w:basedOn w:val="10"/>
    <w:semiHidden/>
    <w:unhideWhenUsed/>
    <w:qFormat/>
    <w:uiPriority w:val="99"/>
  </w:style>
  <w:style w:type="character" w:styleId="15">
    <w:name w:val="HTML Variable"/>
    <w:basedOn w:val="10"/>
    <w:semiHidden/>
    <w:unhideWhenUsed/>
    <w:qFormat/>
    <w:uiPriority w:val="99"/>
  </w:style>
  <w:style w:type="character" w:styleId="16">
    <w:name w:val="Hyperlink"/>
    <w:basedOn w:val="10"/>
    <w:qFormat/>
    <w:uiPriority w:val="99"/>
    <w:rPr>
      <w:color w:val="0066CC"/>
      <w:u w:val="none"/>
    </w:rPr>
  </w:style>
  <w:style w:type="character" w:styleId="17">
    <w:name w:val="HTML Code"/>
    <w:basedOn w:val="10"/>
    <w:semiHidden/>
    <w:unhideWhenUsed/>
    <w:qFormat/>
    <w:uiPriority w:val="99"/>
    <w:rPr>
      <w:rFonts w:ascii="Courier New" w:hAnsi="Courier New"/>
      <w:sz w:val="20"/>
    </w:rPr>
  </w:style>
  <w:style w:type="character" w:styleId="18">
    <w:name w:val="HTML Cite"/>
    <w:basedOn w:val="10"/>
    <w:semiHidden/>
    <w:unhideWhenUsed/>
    <w:qFormat/>
    <w:uiPriority w:val="99"/>
  </w:style>
  <w:style w:type="character" w:customStyle="1" w:styleId="19">
    <w:name w:val="页眉 Char"/>
    <w:basedOn w:val="10"/>
    <w:link w:val="5"/>
    <w:qFormat/>
    <w:uiPriority w:val="0"/>
    <w:rPr>
      <w:rFonts w:ascii="Calibri" w:hAnsi="Calibri" w:eastAsia="宋体" w:cs="Times New Roman"/>
      <w:sz w:val="18"/>
      <w:szCs w:val="18"/>
    </w:rPr>
  </w:style>
  <w:style w:type="character" w:customStyle="1" w:styleId="20">
    <w:name w:val="页脚 Char"/>
    <w:basedOn w:val="10"/>
    <w:link w:val="4"/>
    <w:qFormat/>
    <w:uiPriority w:val="99"/>
    <w:rPr>
      <w:rFonts w:ascii="Calibri" w:hAnsi="Calibri" w:eastAsia="宋体" w:cs="Times New Roman"/>
      <w:sz w:val="18"/>
      <w:szCs w:val="18"/>
    </w:rPr>
  </w:style>
  <w:style w:type="paragraph" w:styleId="21">
    <w:name w:val="List Paragraph"/>
    <w:basedOn w:val="1"/>
    <w:qFormat/>
    <w:uiPriority w:val="34"/>
    <w:pPr>
      <w:ind w:firstLine="420" w:firstLineChars="200"/>
    </w:pPr>
  </w:style>
  <w:style w:type="paragraph" w:customStyle="1" w:styleId="2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font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4">
    <w:name w:val="font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
    <w:name w:val="font2"/>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6">
    <w:name w:val="font3"/>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27">
    <w:name w:val="font4"/>
    <w:basedOn w:val="1"/>
    <w:qFormat/>
    <w:uiPriority w:val="0"/>
    <w:pPr>
      <w:widowControl/>
      <w:spacing w:before="100" w:beforeAutospacing="1" w:after="100" w:afterAutospacing="1"/>
      <w:jc w:val="left"/>
    </w:pPr>
    <w:rPr>
      <w:rFonts w:ascii="宋体" w:hAnsi="宋体" w:cs="宋体"/>
      <w:b/>
      <w:bCs/>
      <w:color w:val="000000"/>
      <w:kern w:val="0"/>
      <w:sz w:val="24"/>
    </w:rPr>
  </w:style>
  <w:style w:type="paragraph" w:customStyle="1" w:styleId="28">
    <w:name w:val="et2"/>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29">
    <w:name w:val="et3"/>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30">
    <w:name w:val="et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1">
    <w:name w:val="et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3">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4"/>
    </w:rPr>
  </w:style>
  <w:style w:type="paragraph" w:customStyle="1" w:styleId="34">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4"/>
    </w:rPr>
  </w:style>
  <w:style w:type="paragraph" w:customStyle="1" w:styleId="35">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2"/>
      <w:szCs w:val="22"/>
    </w:rPr>
  </w:style>
  <w:style w:type="paragraph" w:customStyle="1" w:styleId="36">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7">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38">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4"/>
    </w:rPr>
  </w:style>
  <w:style w:type="character" w:customStyle="1" w:styleId="39">
    <w:name w:val="批注框文本 Char"/>
    <w:basedOn w:val="10"/>
    <w:link w:val="3"/>
    <w:semiHidden/>
    <w:qFormat/>
    <w:uiPriority w:val="99"/>
    <w:rPr>
      <w:rFonts w:ascii="Calibri" w:hAnsi="Calibri"/>
      <w:kern w:val="2"/>
      <w:sz w:val="18"/>
      <w:szCs w:val="18"/>
    </w:rPr>
  </w:style>
  <w:style w:type="character" w:customStyle="1" w:styleId="40">
    <w:name w:val="uploadify-button-text"/>
    <w:basedOn w:val="10"/>
    <w:qFormat/>
    <w:uiPriority w:val="0"/>
  </w:style>
  <w:style w:type="character" w:customStyle="1" w:styleId="41">
    <w:name w:val="inside-toolbar"/>
    <w:basedOn w:val="10"/>
    <w:qFormat/>
    <w:uiPriority w:val="0"/>
  </w:style>
  <w:style w:type="character" w:customStyle="1" w:styleId="42">
    <w:name w:val="signin"/>
    <w:basedOn w:val="10"/>
    <w:qFormat/>
    <w:uiPriority w:val="0"/>
  </w:style>
  <w:style w:type="character" w:customStyle="1" w:styleId="43">
    <w:name w:val="not-empty"/>
    <w:basedOn w:val="10"/>
    <w:qFormat/>
    <w:uiPriority w:val="0"/>
  </w:style>
  <w:style w:type="character" w:customStyle="1" w:styleId="44">
    <w:name w:val="number10"/>
    <w:basedOn w:val="10"/>
    <w:qFormat/>
    <w:uiPriority w:val="0"/>
    <w:rPr>
      <w:color w:val="FFFFFF"/>
    </w:rPr>
  </w:style>
  <w:style w:type="character" w:customStyle="1" w:styleId="45">
    <w:name w:val="number11"/>
    <w:basedOn w:val="10"/>
    <w:qFormat/>
    <w:uiPriority w:val="0"/>
    <w:rPr>
      <w:rFonts w:ascii="Arial" w:hAnsi="Arial" w:cs="Arial"/>
      <w:color w:val="AAAAAA"/>
      <w:sz w:val="16"/>
      <w:szCs w:val="16"/>
    </w:rPr>
  </w:style>
  <w:style w:type="character" w:customStyle="1" w:styleId="46">
    <w:name w:val="number12"/>
    <w:basedOn w:val="10"/>
    <w:qFormat/>
    <w:uiPriority w:val="0"/>
  </w:style>
  <w:style w:type="character" w:customStyle="1" w:styleId="47">
    <w:name w:val="number13"/>
    <w:basedOn w:val="10"/>
    <w:qFormat/>
    <w:uiPriority w:val="0"/>
    <w:rPr>
      <w:color w:val="CCCCCC"/>
    </w:rPr>
  </w:style>
  <w:style w:type="character" w:customStyle="1" w:styleId="48">
    <w:name w:val="number14"/>
    <w:basedOn w:val="10"/>
    <w:qFormat/>
    <w:uiPriority w:val="0"/>
    <w:rPr>
      <w:sz w:val="16"/>
      <w:szCs w:val="16"/>
    </w:rPr>
  </w:style>
  <w:style w:type="character" w:customStyle="1" w:styleId="49">
    <w:name w:val="l-btn-left"/>
    <w:basedOn w:val="10"/>
    <w:qFormat/>
    <w:uiPriority w:val="0"/>
  </w:style>
  <w:style w:type="character" w:customStyle="1" w:styleId="50">
    <w:name w:val="l-btn-left1"/>
    <w:basedOn w:val="10"/>
    <w:qFormat/>
    <w:uiPriority w:val="0"/>
  </w:style>
  <w:style w:type="character" w:customStyle="1" w:styleId="51">
    <w:name w:val="l-btn-left2"/>
    <w:basedOn w:val="10"/>
    <w:qFormat/>
    <w:uiPriority w:val="0"/>
  </w:style>
  <w:style w:type="character" w:customStyle="1" w:styleId="52">
    <w:name w:val="l-btn-left3"/>
    <w:basedOn w:val="10"/>
    <w:qFormat/>
    <w:uiPriority w:val="0"/>
  </w:style>
  <w:style w:type="character" w:customStyle="1" w:styleId="53">
    <w:name w:val="l-btn-left4"/>
    <w:basedOn w:val="10"/>
    <w:qFormat/>
    <w:uiPriority w:val="0"/>
  </w:style>
  <w:style w:type="character" w:customStyle="1" w:styleId="54">
    <w:name w:val="active10"/>
    <w:basedOn w:val="10"/>
    <w:qFormat/>
    <w:uiPriority w:val="0"/>
  </w:style>
  <w:style w:type="character" w:customStyle="1" w:styleId="55">
    <w:name w:val="l-btn-text8"/>
    <w:basedOn w:val="10"/>
    <w:qFormat/>
    <w:uiPriority w:val="0"/>
  </w:style>
  <w:style w:type="character" w:customStyle="1" w:styleId="56">
    <w:name w:val="l-btn-text9"/>
    <w:basedOn w:val="10"/>
    <w:qFormat/>
    <w:uiPriority w:val="0"/>
    <w:rPr>
      <w:sz w:val="18"/>
      <w:szCs w:val="18"/>
    </w:rPr>
  </w:style>
  <w:style w:type="character" w:customStyle="1" w:styleId="57">
    <w:name w:val="l-btn-icon-left"/>
    <w:basedOn w:val="10"/>
    <w:qFormat/>
    <w:uiPriority w:val="0"/>
  </w:style>
  <w:style w:type="character" w:customStyle="1" w:styleId="58">
    <w:name w:val="l-btn-icon-right"/>
    <w:basedOn w:val="10"/>
    <w:qFormat/>
    <w:uiPriority w:val="0"/>
  </w:style>
  <w:style w:type="character" w:customStyle="1" w:styleId="59">
    <w:name w:val="l-btn-empty"/>
    <w:basedOn w:val="10"/>
    <w:qFormat/>
    <w:uiPriority w:val="0"/>
  </w:style>
  <w:style w:type="character" w:customStyle="1" w:styleId="60">
    <w:name w:val="not-empty2"/>
    <w:basedOn w:val="10"/>
    <w:qFormat/>
    <w:uiPriority w:val="0"/>
  </w:style>
  <w:style w:type="character" w:customStyle="1" w:styleId="61">
    <w:name w:val="inside-toolbar6"/>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1B020-C459-4C8E-BB96-A38E37ABA312}">
  <ds:schemaRefs/>
</ds:datastoreItem>
</file>

<file path=docProps/app.xml><?xml version="1.0" encoding="utf-8"?>
<Properties xmlns="http://schemas.openxmlformats.org/officeDocument/2006/extended-properties" xmlns:vt="http://schemas.openxmlformats.org/officeDocument/2006/docPropsVTypes">
  <Template>Normal.dotm</Template>
  <Company>LG</Company>
  <Pages>9</Pages>
  <Words>3392</Words>
  <Characters>3626</Characters>
  <Lines>28</Lines>
  <Paragraphs>8</Paragraphs>
  <TotalTime>61</TotalTime>
  <ScaleCrop>false</ScaleCrop>
  <LinksUpToDate>false</LinksUpToDate>
  <CharactersWithSpaces>3637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2020-06-12T11:36:00Z</dcterms:created>
  <dc:creator>宋文杰</dc:creator>
  <cp:lastModifiedBy>衣泳宇</cp:lastModifiedBy>
  <dcterms:modified xsi:type="dcterms:W3CDTF">2025-07-02T09:26:39Z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775746C41E474AAB96FD216334D16302_13</vt:lpwstr>
  </property>
  <property fmtid="{D5CDD505-2E9C-101B-9397-08002B2CF9AE}" pid="4" name="KSOTemplateDocerSaveRecord">
    <vt:lpwstr>eyJoZGlkIjoiNjIzNzZkNmQ1MzBhMzhmMjU5NmY0YTQ4Yzk2MzhmOWIiLCJ1c2VySWQiOiIzODcyODk2MDkifQ==</vt:lpwstr>
  </property>
</Properties>
</file>