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喷枪组件及支架</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8</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18</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color w:val="auto"/>
                <w:sz w:val="18"/>
                <w:szCs w:val="18"/>
                <w:lang w:val="en-US" w:eastAsia="zh-CN"/>
              </w:rPr>
            </w:pPr>
            <w:r>
              <w:rPr>
                <w:rFonts w:ascii="Tahoma" w:hAnsi="Tahoma" w:eastAsia="Tahoma" w:cs="Tahoma"/>
                <w:color w:val="auto"/>
                <w:sz w:val="18"/>
                <w:szCs w:val="18"/>
                <w:bdr w:val="none" w:color="auto" w:sz="0" w:space="0"/>
              </w:rPr>
              <w:t>喷枪组件及支架LD250818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color w:val="auto"/>
                <w:sz w:val="18"/>
                <w:szCs w:val="18"/>
                <w:lang w:val="en-US" w:eastAsia="zh-CN"/>
              </w:rPr>
            </w:pPr>
            <w:r>
              <w:rPr>
                <w:rFonts w:ascii="Tahoma" w:hAnsi="Tahoma" w:eastAsia="Tahoma" w:cs="Tahoma"/>
                <w:color w:val="auto"/>
                <w:sz w:val="18"/>
                <w:szCs w:val="18"/>
                <w:bdr w:val="none" w:color="auto" w:sz="0" w:space="0"/>
              </w:rPr>
              <w:t>19185225080740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180" w:firstLineChars="10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 王工：联系方式： 13696347069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bookmarkStart w:id="0" w:name="_GoBack"/>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bookmarkEnd w:id="0"/>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D9320F"/>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22B99"/>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294ED6"/>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DB799E"/>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7E6212"/>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5B0BA8"/>
    <w:rsid w:val="4E5D0527"/>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426B43"/>
    <w:rsid w:val="62536695"/>
    <w:rsid w:val="625B184E"/>
    <w:rsid w:val="62776DF5"/>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776980"/>
    <w:rsid w:val="6F960F8E"/>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9</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2025-08-19T10:18:20Z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