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坯号识别系统</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18</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sz w:val="18"/>
                <w:szCs w:val="18"/>
                <w:lang w:val="en-US" w:eastAsia="zh-CN"/>
              </w:rPr>
            </w:pPr>
            <w:r>
              <w:rPr>
                <w:rFonts w:ascii="Tahoma" w:hAnsi="Tahoma" w:eastAsia="Tahoma" w:cs="Tahoma"/>
                <w:i w:val="0"/>
                <w:caps w:val="0"/>
                <w:color w:val="22405A"/>
                <w:spacing w:val="0"/>
                <w:sz w:val="18"/>
                <w:szCs w:val="18"/>
                <w:shd w:val="clear" w:fill="FFFFFF"/>
              </w:rPr>
              <w:t>坯号识别系统LD250818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color w:val="auto"/>
                <w:sz w:val="18"/>
                <w:szCs w:val="18"/>
                <w:lang w:val="en-US" w:eastAsia="zh-CN"/>
              </w:rPr>
            </w:pPr>
            <w:r>
              <w:rPr>
                <w:rFonts w:ascii="Tahoma" w:hAnsi="Tahoma" w:eastAsia="Tahoma" w:cs="Tahoma"/>
                <w:i w:val="0"/>
                <w:caps w:val="0"/>
                <w:color w:val="22405A"/>
                <w:spacing w:val="0"/>
                <w:sz w:val="18"/>
                <w:szCs w:val="18"/>
                <w:shd w:val="clear" w:fill="FFFFFF"/>
              </w:rPr>
              <w:t>19185225080741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80" w:firstLineChars="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100</w:t>
            </w:r>
            <w:bookmarkStart w:id="0" w:name="_GoBack"/>
            <w:bookmarkEnd w:id="0"/>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 王工：联系方式： 13696347069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22B99"/>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496BAF"/>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26B43"/>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2025-08-19T10:24:24Z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