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textAlignment w:val="center"/>
        <w:rPr>
          <w:rFonts w:hint="eastAsia" w:ascii="方正小标宋简体" w:eastAsia="方正小标宋简体"/>
          <w:spacing w:val="45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45"/>
          <w:kern w:val="0"/>
          <w:sz w:val="44"/>
          <w:szCs w:val="44"/>
        </w:rPr>
        <w:t>山东钢铁股份有限公司</w:t>
      </w:r>
    </w:p>
    <w:p>
      <w:pPr>
        <w:tabs>
          <w:tab w:val="left" w:pos="3000"/>
        </w:tabs>
        <w:autoSpaceDE w:val="0"/>
        <w:autoSpaceDN w:val="0"/>
        <w:adjustRightInd w:val="0"/>
        <w:spacing w:line="580" w:lineRule="exact"/>
        <w:jc w:val="center"/>
        <w:textAlignment w:val="center"/>
        <w:rPr>
          <w:rFonts w:hint="eastAsia" w:ascii="方正小标宋简体" w:eastAsia="方正小标宋简体"/>
          <w:spacing w:val="45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45"/>
          <w:kern w:val="0"/>
          <w:sz w:val="44"/>
          <w:szCs w:val="44"/>
          <w:lang w:val="en-US" w:eastAsia="zh-CN"/>
        </w:rPr>
        <w:t>曲臂车租赁服务业务</w:t>
      </w:r>
      <w:r>
        <w:rPr>
          <w:rFonts w:hint="eastAsia" w:ascii="方正小标宋简体" w:eastAsia="方正小标宋简体"/>
          <w:spacing w:val="45"/>
          <w:kern w:val="0"/>
          <w:sz w:val="44"/>
          <w:szCs w:val="44"/>
        </w:rPr>
        <w:t>招标</w:t>
      </w:r>
      <w:r>
        <w:rPr>
          <w:rFonts w:hint="eastAsia" w:ascii="方正小标宋简体" w:eastAsia="方正小标宋简体"/>
          <w:spacing w:val="45"/>
          <w:kern w:val="0"/>
          <w:sz w:val="44"/>
          <w:szCs w:val="44"/>
          <w:lang w:val="en-US" w:eastAsia="zh-CN"/>
        </w:rPr>
        <w:t>文件</w:t>
      </w:r>
      <w:bookmarkStart w:id="2" w:name="_GoBack"/>
      <w:bookmarkEnd w:id="2"/>
    </w:p>
    <w:p>
      <w:pPr>
        <w:tabs>
          <w:tab w:val="left" w:pos="3000"/>
        </w:tabs>
        <w:autoSpaceDE w:val="0"/>
        <w:autoSpaceDN w:val="0"/>
        <w:adjustRightInd w:val="0"/>
        <w:spacing w:line="580" w:lineRule="exact"/>
        <w:textAlignment w:val="center"/>
        <w:rPr>
          <w:rFonts w:ascii="方正小标宋简体" w:eastAsia="方正小标宋简体"/>
          <w:spacing w:val="45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一、招标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人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山东钢铁股份有限公司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二、项目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2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（一）招标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名称：曲臂车租赁服务业务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招标方式：公开招标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（三）招标内容：</w:t>
      </w:r>
      <w:bookmarkStart w:id="0" w:name="OLE_LINK1"/>
      <w:r>
        <w:rPr>
          <w:rFonts w:hint="eastAsia" w:ascii="仿宋_GB2312" w:eastAsia="仿宋_GB2312"/>
          <w:sz w:val="32"/>
          <w:szCs w:val="32"/>
          <w:lang w:val="en-US" w:eastAsia="zh-CN"/>
        </w:rPr>
        <w:t>提供厂区内部曲臂车租赁服务（含生产、抢修及设备大中修），要求曲臂车具有出厂检验合格证明，安全冗余设施齐全。中标方按照约定时间、地点提供安全、准时的曲臂车服务，同时需配备具有相应操作资质的驾驶员。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（四）报价方式：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 采用固定综合单价进行报价。固定综合单价中包含但不限于曲臂车租赁费及其运输费用、操作人员工资、加班费、食宿费、燃油费、维修保养费、各种保险、来往现场途中各种违章罚款、税金、设备进出场费等与曲臂车租赁相关的所发生的一切费用，招标方不再另行支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 固定综合单价充分考虑了一切可预见及不可预见的影响因素及条件。投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标方须到施工现场进行实地勘测、并熟悉路线及施工现场等情况，同时在作业过程中，投标方不得以不完全了解作业环境及配套物资设备情况为由，提出任何增加单价或索赔。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（五）投标报价要求：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1.投标报价均为不含税价格，税率均为0%。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2.结算税率按照国家相关制度要求执行，如遇国家税率调整，在不含税价格基础上执行新的税率。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 报价清单见附件1。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（四）结算方式：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1.租赁费用按照小时计量，采用作业时长*固定综合单价月度结算。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用银行承兑汇票的方式进行结算。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（五）拟招承揽单位数量及合同期限：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1. </w:t>
      </w:r>
      <w:r>
        <w:rPr>
          <w:rFonts w:ascii="仿宋_GB2312" w:hAnsi="宋体" w:eastAsia="仿宋_GB2312"/>
          <w:color w:val="000000"/>
          <w:sz w:val="32"/>
          <w:szCs w:val="32"/>
        </w:rPr>
        <w:t>拟招承揽单位数量：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本次拟招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承揽单位。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 合同期限：1年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违约责任：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1. 投标方不能满足作业能力要求，招标方有权更换单位，投标方不得有异议。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 投标方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接到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招标方的计划通知后，负责安排所要求的曲臂车按时到达招标方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指定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的作业地点。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进入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作业地点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投标方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施工人员要听从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招标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方现场负责人指挥、调配。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曲臂车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作业时严格按照专业人员指令操作，严禁凭经验私自操作。如经劝说拒不整改的，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招标方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有权重新安排另外的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作业单位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，并在决算中扣减10%。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、招标方式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本项目通过公开招标方式确定中标单位（1家）。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、单位资格审查条件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（一）符合国家规定行业标准，具有独立企业法人资格，依法取得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工商营业执照，具备机械设备租赁或工程服务或运输服务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业务开展所需的</w:t>
      </w:r>
      <w:r>
        <w:rPr>
          <w:rFonts w:hint="eastAsia" w:ascii="仿宋_GB2312" w:hAnsi="宋体" w:eastAsia="仿宋_GB2312"/>
          <w:sz w:val="32"/>
          <w:szCs w:val="32"/>
        </w:rPr>
        <w:t>相关资质。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（二）具有一定资金基础，注册资金在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00万元以上。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具有良好的经营行为，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不存在失信被执行、限制高消费情况，与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方不存在纠纷诉讼行为（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提供企查查网站查询截图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）具有从事相关业务经验和业绩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（至少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2022年1月1日以来签订的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一份业务相关或近似的合同）</w:t>
      </w:r>
      <w:r>
        <w:rPr>
          <w:rFonts w:hint="eastAsia" w:ascii="仿宋_GB2312" w:hAnsi="宋体" w:eastAsia="仿宋_GB2312"/>
          <w:sz w:val="32"/>
          <w:szCs w:val="32"/>
        </w:rPr>
        <w:t>，管理、安全、服务体系健全。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）具有满足相关业务需要的足量资源，能保证日常业务和应急任务开展。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textAlignment w:val="center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kern w:val="0"/>
          <w:sz w:val="32"/>
          <w:szCs w:val="32"/>
        </w:rPr>
        <w:t>安全环保要求：</w:t>
      </w:r>
      <w:r>
        <w:rPr>
          <w:rFonts w:hint="eastAsia" w:ascii="仿宋_GB2312" w:hAnsi="宋体" w:eastAsia="仿宋_GB2312" w:cs="宋体"/>
          <w:sz w:val="32"/>
          <w:szCs w:val="32"/>
        </w:rPr>
        <w:t>在工作、运输及存放过程中，要满足国家及地方相关环保要求，不得造成二次污染。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center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报名参加投标的单位，报名时需上传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PDF版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资格预审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证明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文件，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制造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管理部将根据项目情况组织联合考察，对不符合招标条件或故意弄虚作假者，取消投标资格。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、评标方法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采取综合评估法进行评标，技术占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0分，商务占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0分，综合排名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的单位中标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排名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并列情况，根据综合实力，经评标委员会研究决定推荐中标单位。</w:t>
      </w:r>
    </w:p>
    <w:tbl>
      <w:tblPr>
        <w:tblStyle w:val="11"/>
        <w:tblW w:w="102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8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分类</w:t>
            </w:r>
          </w:p>
        </w:tc>
        <w:tc>
          <w:tcPr>
            <w:tcW w:w="8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auto"/>
                <w:kern w:val="0"/>
                <w:sz w:val="24"/>
              </w:rPr>
              <w:t>评分规则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价格（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0）</w:t>
            </w:r>
          </w:p>
        </w:tc>
        <w:tc>
          <w:tcPr>
            <w:tcW w:w="8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1、高于平均报价30%为无效投标，低于平均报价3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0%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的，经评标委员会讨论研究，确认价格是否合理，若不合理视为无效投标。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2、有效最低报价为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分，其他以有效最低报价为基准，每高于基准价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%减1分。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实力业绩（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8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投标单位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提供与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本招标业务相似近三年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2022年以来签订的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的承包合同，提供合同份数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份以上的（含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份）得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3份以上（含3份）5份以下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分，1份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以上（含1份）3份以下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的得1分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未提供的不得分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以“企查查”（www.qichacha.com）网站查询结果为依据：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“法律诉讼”项下“被执行人”每条扣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highlight w:val="none"/>
              </w:rPr>
              <w:t>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计最高扣5分，得分0-5分。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服务保障（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8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对该业务有较为详实的了解，熟悉业务流程，能够根据业务特性制定相应的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方案。所编制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方案针对性强，内容全面的得分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分；针对性不强，内容较全面的得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分；无针对性，内容欠缺的得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</w:rPr>
              <w:t>提供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较为详实的安全管理规章制度，并配备安全管理专职人员，编制内容全面的得分4-5分，内容较为全面的得分2-3分，内容不全面的得分1分，未提供的不得分。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宋体" w:eastAsia="仿宋_GB2312"/>
          <w:spacing w:val="1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本文未尽事宜，由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双方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协商解决。招标说明中需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要咨询的问题，请联系下列人员负责解释。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 xml:space="preserve">招标中心   李先生0531-76923197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制造管理部 王先生0531-77920308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其他要求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（一）报名截止时间及报价截止时间按照</w:t>
      </w:r>
      <w:bookmarkStart w:id="1" w:name="OLE_LINK2"/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投标网站bams.shansteelgroup.com</w:t>
      </w:r>
      <w:bookmarkEnd w:id="1"/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项目设定执行，过期者视为自动放弃。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（二）投标过程严格执行国家相关招标法律法规。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. 报价清单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ind w:firstLine="420" w:firstLineChars="200"/>
        <w:rPr>
          <w:rFonts w:ascii="仿宋_GB2312" w:eastAsia="仿宋_GB2312"/>
          <w:szCs w:val="21"/>
        </w:rPr>
      </w:pPr>
    </w:p>
    <w:p>
      <w:pPr>
        <w:ind w:firstLine="420" w:firstLineChars="200"/>
        <w:rPr>
          <w:rFonts w:ascii="仿宋_GB2312" w:eastAsia="仿宋_GB2312"/>
          <w:szCs w:val="21"/>
        </w:rPr>
      </w:pPr>
    </w:p>
    <w:p>
      <w:pPr>
        <w:pStyle w:val="4"/>
        <w:rPr>
          <w:rFonts w:ascii="仿宋_GB2312" w:eastAsia="仿宋_GB2312"/>
          <w:szCs w:val="21"/>
        </w:rPr>
      </w:pPr>
    </w:p>
    <w:p>
      <w:pPr>
        <w:pStyle w:val="4"/>
        <w:rPr>
          <w:rFonts w:ascii="仿宋_GB2312" w:eastAsia="仿宋_GB2312"/>
          <w:szCs w:val="21"/>
        </w:rPr>
      </w:pPr>
    </w:p>
    <w:p>
      <w:pPr>
        <w:pStyle w:val="4"/>
        <w:rPr>
          <w:rFonts w:ascii="仿宋_GB2312" w:eastAsia="仿宋_GB2312"/>
          <w:szCs w:val="21"/>
        </w:rPr>
      </w:pPr>
    </w:p>
    <w:p>
      <w:pPr>
        <w:pStyle w:val="4"/>
        <w:rPr>
          <w:rFonts w:ascii="仿宋_GB2312" w:eastAsia="仿宋_GB2312"/>
          <w:szCs w:val="21"/>
        </w:rPr>
      </w:pPr>
    </w:p>
    <w:p>
      <w:pPr>
        <w:pStyle w:val="4"/>
        <w:rPr>
          <w:rFonts w:ascii="仿宋_GB2312" w:eastAsia="仿宋_GB2312"/>
          <w:szCs w:val="21"/>
        </w:rPr>
      </w:pPr>
    </w:p>
    <w:p>
      <w:pPr>
        <w:pStyle w:val="4"/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报价清单</w:t>
      </w:r>
    </w:p>
    <w:tbl>
      <w:tblPr>
        <w:tblStyle w:val="11"/>
        <w:tblW w:w="8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5"/>
        <w:gridCol w:w="3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投标类别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投标价格（不含税）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曲臂车服务</w:t>
            </w:r>
          </w:p>
        </w:tc>
        <w:tc>
          <w:tcPr>
            <w:tcW w:w="3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元/小时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填写要求：手工填写，要求字迹清晰、工整，不允许有涂改痕迹。</w:t>
            </w:r>
          </w:p>
        </w:tc>
      </w:tr>
    </w:tbl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黑体" w:hAnsi="黑体" w:eastAsia="黑体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投标单位全称（公章）：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日期：    年   月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.65pt;width:6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0N5RNIAAAAEAQAADwAAAAAAAAABACAAAAAiAAAAZHJzL2Rvd25yZXYueG1sUEsBAhQA&#10;FAAAAAgAh07iQGtFyu/4AQAAAQQAAA4AAAAAAAAAAQAgAAAAIQ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MDBjMmQzYTU1MzE3NmYzOTE4MzdiYzJkMGJiNzYifQ=="/>
  </w:docVars>
  <w:rsids>
    <w:rsidRoot w:val="00D55F8F"/>
    <w:rsid w:val="00001EE8"/>
    <w:rsid w:val="00004030"/>
    <w:rsid w:val="00005530"/>
    <w:rsid w:val="00013CB8"/>
    <w:rsid w:val="00015CCF"/>
    <w:rsid w:val="0002718E"/>
    <w:rsid w:val="000279CF"/>
    <w:rsid w:val="00030412"/>
    <w:rsid w:val="00031249"/>
    <w:rsid w:val="0004333D"/>
    <w:rsid w:val="00053716"/>
    <w:rsid w:val="0005695C"/>
    <w:rsid w:val="000569FD"/>
    <w:rsid w:val="00057D32"/>
    <w:rsid w:val="00062736"/>
    <w:rsid w:val="0007086D"/>
    <w:rsid w:val="00076475"/>
    <w:rsid w:val="00083BB5"/>
    <w:rsid w:val="00093ADC"/>
    <w:rsid w:val="000A48C1"/>
    <w:rsid w:val="000B3CC8"/>
    <w:rsid w:val="000B407B"/>
    <w:rsid w:val="000B4C05"/>
    <w:rsid w:val="000C0C05"/>
    <w:rsid w:val="000D0EDA"/>
    <w:rsid w:val="000D5A8F"/>
    <w:rsid w:val="000E0180"/>
    <w:rsid w:val="000E2433"/>
    <w:rsid w:val="000E478A"/>
    <w:rsid w:val="000F06B6"/>
    <w:rsid w:val="000F72CD"/>
    <w:rsid w:val="00100FE5"/>
    <w:rsid w:val="001055E1"/>
    <w:rsid w:val="00110341"/>
    <w:rsid w:val="00111DA4"/>
    <w:rsid w:val="0011365D"/>
    <w:rsid w:val="00114CCF"/>
    <w:rsid w:val="0011514B"/>
    <w:rsid w:val="00125D14"/>
    <w:rsid w:val="0013561D"/>
    <w:rsid w:val="001412A5"/>
    <w:rsid w:val="00141425"/>
    <w:rsid w:val="00144F17"/>
    <w:rsid w:val="0014732C"/>
    <w:rsid w:val="00155DB9"/>
    <w:rsid w:val="00156D58"/>
    <w:rsid w:val="00161A32"/>
    <w:rsid w:val="00163751"/>
    <w:rsid w:val="00164ABE"/>
    <w:rsid w:val="001660B7"/>
    <w:rsid w:val="00167188"/>
    <w:rsid w:val="001758F1"/>
    <w:rsid w:val="00190336"/>
    <w:rsid w:val="0019556A"/>
    <w:rsid w:val="001967FE"/>
    <w:rsid w:val="00196F79"/>
    <w:rsid w:val="001A24AC"/>
    <w:rsid w:val="001A54E6"/>
    <w:rsid w:val="001B01FC"/>
    <w:rsid w:val="001B7657"/>
    <w:rsid w:val="001C32BA"/>
    <w:rsid w:val="001C5A3C"/>
    <w:rsid w:val="001C722D"/>
    <w:rsid w:val="001D62DA"/>
    <w:rsid w:val="001E3BDE"/>
    <w:rsid w:val="001F19AD"/>
    <w:rsid w:val="002145B6"/>
    <w:rsid w:val="002177E9"/>
    <w:rsid w:val="002238BF"/>
    <w:rsid w:val="002249C7"/>
    <w:rsid w:val="00230ADC"/>
    <w:rsid w:val="00234131"/>
    <w:rsid w:val="00251E39"/>
    <w:rsid w:val="00260F3F"/>
    <w:rsid w:val="002734D1"/>
    <w:rsid w:val="002748C4"/>
    <w:rsid w:val="00274CFD"/>
    <w:rsid w:val="00277760"/>
    <w:rsid w:val="002823DF"/>
    <w:rsid w:val="00283C7D"/>
    <w:rsid w:val="00294BE0"/>
    <w:rsid w:val="00295E8D"/>
    <w:rsid w:val="002A3F78"/>
    <w:rsid w:val="002A6FAB"/>
    <w:rsid w:val="002B2566"/>
    <w:rsid w:val="002B6962"/>
    <w:rsid w:val="002C1018"/>
    <w:rsid w:val="002C3A32"/>
    <w:rsid w:val="002D661E"/>
    <w:rsid w:val="002D67C1"/>
    <w:rsid w:val="002E4CBB"/>
    <w:rsid w:val="002F7F66"/>
    <w:rsid w:val="00304B52"/>
    <w:rsid w:val="003050BB"/>
    <w:rsid w:val="00305F0B"/>
    <w:rsid w:val="00307A94"/>
    <w:rsid w:val="00332B26"/>
    <w:rsid w:val="00342DA8"/>
    <w:rsid w:val="00344C41"/>
    <w:rsid w:val="00354398"/>
    <w:rsid w:val="0035501F"/>
    <w:rsid w:val="003776C4"/>
    <w:rsid w:val="003817CC"/>
    <w:rsid w:val="0038387F"/>
    <w:rsid w:val="00395DEB"/>
    <w:rsid w:val="003A3C6C"/>
    <w:rsid w:val="003A46E0"/>
    <w:rsid w:val="003A5B00"/>
    <w:rsid w:val="003A6A4E"/>
    <w:rsid w:val="003B1E30"/>
    <w:rsid w:val="003B3488"/>
    <w:rsid w:val="003C0E1B"/>
    <w:rsid w:val="003C2E0F"/>
    <w:rsid w:val="003D1A4B"/>
    <w:rsid w:val="003D3295"/>
    <w:rsid w:val="003D587B"/>
    <w:rsid w:val="003E47A6"/>
    <w:rsid w:val="003F28E9"/>
    <w:rsid w:val="00400DA7"/>
    <w:rsid w:val="004145F6"/>
    <w:rsid w:val="00414C49"/>
    <w:rsid w:val="00434C46"/>
    <w:rsid w:val="0044165E"/>
    <w:rsid w:val="0046110B"/>
    <w:rsid w:val="00474747"/>
    <w:rsid w:val="0047483B"/>
    <w:rsid w:val="004760BC"/>
    <w:rsid w:val="00480F3E"/>
    <w:rsid w:val="00481685"/>
    <w:rsid w:val="00481AFE"/>
    <w:rsid w:val="00490AC3"/>
    <w:rsid w:val="0049493F"/>
    <w:rsid w:val="004A26E7"/>
    <w:rsid w:val="004A2A7D"/>
    <w:rsid w:val="004B0BC9"/>
    <w:rsid w:val="004B5A9D"/>
    <w:rsid w:val="004C15AE"/>
    <w:rsid w:val="004D5E21"/>
    <w:rsid w:val="004E07AE"/>
    <w:rsid w:val="004E1EF0"/>
    <w:rsid w:val="004E209C"/>
    <w:rsid w:val="004E26E4"/>
    <w:rsid w:val="00504E97"/>
    <w:rsid w:val="00506CB6"/>
    <w:rsid w:val="00522B77"/>
    <w:rsid w:val="00523CC8"/>
    <w:rsid w:val="005344EE"/>
    <w:rsid w:val="00535714"/>
    <w:rsid w:val="00537D9E"/>
    <w:rsid w:val="00547C9D"/>
    <w:rsid w:val="00551301"/>
    <w:rsid w:val="00551C58"/>
    <w:rsid w:val="005554E4"/>
    <w:rsid w:val="0055658C"/>
    <w:rsid w:val="00557183"/>
    <w:rsid w:val="005624A4"/>
    <w:rsid w:val="00574021"/>
    <w:rsid w:val="00574234"/>
    <w:rsid w:val="005755CB"/>
    <w:rsid w:val="005800DE"/>
    <w:rsid w:val="005811CE"/>
    <w:rsid w:val="00583695"/>
    <w:rsid w:val="00587059"/>
    <w:rsid w:val="00587903"/>
    <w:rsid w:val="00590F9C"/>
    <w:rsid w:val="00595B1B"/>
    <w:rsid w:val="005B3F4F"/>
    <w:rsid w:val="005B48AB"/>
    <w:rsid w:val="005C3B66"/>
    <w:rsid w:val="005C6D45"/>
    <w:rsid w:val="005D0D19"/>
    <w:rsid w:val="005D2212"/>
    <w:rsid w:val="005D23F0"/>
    <w:rsid w:val="005D44B0"/>
    <w:rsid w:val="005D5119"/>
    <w:rsid w:val="005D6FE5"/>
    <w:rsid w:val="005E7B02"/>
    <w:rsid w:val="005E7F02"/>
    <w:rsid w:val="005F0ACE"/>
    <w:rsid w:val="005F524D"/>
    <w:rsid w:val="006010DD"/>
    <w:rsid w:val="00601DDB"/>
    <w:rsid w:val="00606D53"/>
    <w:rsid w:val="00626185"/>
    <w:rsid w:val="00626200"/>
    <w:rsid w:val="0063314B"/>
    <w:rsid w:val="00640D2E"/>
    <w:rsid w:val="0065551F"/>
    <w:rsid w:val="006609F6"/>
    <w:rsid w:val="00661D60"/>
    <w:rsid w:val="006630B4"/>
    <w:rsid w:val="00674288"/>
    <w:rsid w:val="00681425"/>
    <w:rsid w:val="00681697"/>
    <w:rsid w:val="006868C7"/>
    <w:rsid w:val="00687F44"/>
    <w:rsid w:val="006A6876"/>
    <w:rsid w:val="006A6A34"/>
    <w:rsid w:val="006A7470"/>
    <w:rsid w:val="006A7900"/>
    <w:rsid w:val="006C02B4"/>
    <w:rsid w:val="006D30BE"/>
    <w:rsid w:val="006E0727"/>
    <w:rsid w:val="006E0D57"/>
    <w:rsid w:val="006E1E23"/>
    <w:rsid w:val="006F016C"/>
    <w:rsid w:val="006F4F12"/>
    <w:rsid w:val="006F7F14"/>
    <w:rsid w:val="00700864"/>
    <w:rsid w:val="00702902"/>
    <w:rsid w:val="007111EE"/>
    <w:rsid w:val="00717A8E"/>
    <w:rsid w:val="0072079C"/>
    <w:rsid w:val="00723EA9"/>
    <w:rsid w:val="00732100"/>
    <w:rsid w:val="00734E99"/>
    <w:rsid w:val="00740681"/>
    <w:rsid w:val="00741D12"/>
    <w:rsid w:val="007428B2"/>
    <w:rsid w:val="00743F7E"/>
    <w:rsid w:val="0074634B"/>
    <w:rsid w:val="00752CC6"/>
    <w:rsid w:val="007574F4"/>
    <w:rsid w:val="00761BCD"/>
    <w:rsid w:val="00765FE9"/>
    <w:rsid w:val="007660C2"/>
    <w:rsid w:val="00780DDC"/>
    <w:rsid w:val="00781AAD"/>
    <w:rsid w:val="00784041"/>
    <w:rsid w:val="00785590"/>
    <w:rsid w:val="00795CDD"/>
    <w:rsid w:val="007A4708"/>
    <w:rsid w:val="007A7195"/>
    <w:rsid w:val="007B5678"/>
    <w:rsid w:val="007C1621"/>
    <w:rsid w:val="007C3522"/>
    <w:rsid w:val="007C3B7E"/>
    <w:rsid w:val="007D20E8"/>
    <w:rsid w:val="007E0CA7"/>
    <w:rsid w:val="007E3E38"/>
    <w:rsid w:val="007E4844"/>
    <w:rsid w:val="007F2E4E"/>
    <w:rsid w:val="007F2ED2"/>
    <w:rsid w:val="007F39A1"/>
    <w:rsid w:val="007F4A1F"/>
    <w:rsid w:val="007F5E5D"/>
    <w:rsid w:val="00800D28"/>
    <w:rsid w:val="00806359"/>
    <w:rsid w:val="00806EC6"/>
    <w:rsid w:val="00810832"/>
    <w:rsid w:val="00810B1A"/>
    <w:rsid w:val="008141BF"/>
    <w:rsid w:val="0082362E"/>
    <w:rsid w:val="0082737F"/>
    <w:rsid w:val="008303C8"/>
    <w:rsid w:val="008329F2"/>
    <w:rsid w:val="00845FE3"/>
    <w:rsid w:val="00856680"/>
    <w:rsid w:val="008573E1"/>
    <w:rsid w:val="0086047F"/>
    <w:rsid w:val="00864CA5"/>
    <w:rsid w:val="00871688"/>
    <w:rsid w:val="00871F86"/>
    <w:rsid w:val="00876702"/>
    <w:rsid w:val="00885347"/>
    <w:rsid w:val="008858CD"/>
    <w:rsid w:val="008A048C"/>
    <w:rsid w:val="008A52BD"/>
    <w:rsid w:val="008B152A"/>
    <w:rsid w:val="008B3F35"/>
    <w:rsid w:val="008B7C28"/>
    <w:rsid w:val="008C23B2"/>
    <w:rsid w:val="008D50BE"/>
    <w:rsid w:val="008F0EF7"/>
    <w:rsid w:val="008F20DB"/>
    <w:rsid w:val="008F6F3C"/>
    <w:rsid w:val="008F715A"/>
    <w:rsid w:val="00902737"/>
    <w:rsid w:val="00910486"/>
    <w:rsid w:val="00922619"/>
    <w:rsid w:val="00923EED"/>
    <w:rsid w:val="00924151"/>
    <w:rsid w:val="00926307"/>
    <w:rsid w:val="00927AEF"/>
    <w:rsid w:val="009356C3"/>
    <w:rsid w:val="00942201"/>
    <w:rsid w:val="00943C1C"/>
    <w:rsid w:val="00945F70"/>
    <w:rsid w:val="00961411"/>
    <w:rsid w:val="00963192"/>
    <w:rsid w:val="00967895"/>
    <w:rsid w:val="00970517"/>
    <w:rsid w:val="009841D1"/>
    <w:rsid w:val="009846B9"/>
    <w:rsid w:val="0098474E"/>
    <w:rsid w:val="00984DC7"/>
    <w:rsid w:val="00990092"/>
    <w:rsid w:val="0099019A"/>
    <w:rsid w:val="00995CAD"/>
    <w:rsid w:val="0099705D"/>
    <w:rsid w:val="009A05B1"/>
    <w:rsid w:val="009A1470"/>
    <w:rsid w:val="009A32C4"/>
    <w:rsid w:val="009A3FFA"/>
    <w:rsid w:val="009A62BC"/>
    <w:rsid w:val="009B5F9D"/>
    <w:rsid w:val="009C1CA2"/>
    <w:rsid w:val="009C1FFF"/>
    <w:rsid w:val="009C771F"/>
    <w:rsid w:val="009D505F"/>
    <w:rsid w:val="009E139E"/>
    <w:rsid w:val="009E3375"/>
    <w:rsid w:val="009E4130"/>
    <w:rsid w:val="009E57EC"/>
    <w:rsid w:val="009E778A"/>
    <w:rsid w:val="00A01A4B"/>
    <w:rsid w:val="00A114C4"/>
    <w:rsid w:val="00A125DC"/>
    <w:rsid w:val="00A1436B"/>
    <w:rsid w:val="00A25944"/>
    <w:rsid w:val="00A26E1B"/>
    <w:rsid w:val="00A310F5"/>
    <w:rsid w:val="00A47D72"/>
    <w:rsid w:val="00A6448B"/>
    <w:rsid w:val="00A65D12"/>
    <w:rsid w:val="00A745B9"/>
    <w:rsid w:val="00A74A3E"/>
    <w:rsid w:val="00A8332A"/>
    <w:rsid w:val="00A96D26"/>
    <w:rsid w:val="00AA1B23"/>
    <w:rsid w:val="00AB0EAF"/>
    <w:rsid w:val="00AB4639"/>
    <w:rsid w:val="00AC1FF3"/>
    <w:rsid w:val="00AC20B7"/>
    <w:rsid w:val="00AC3197"/>
    <w:rsid w:val="00AC4BC4"/>
    <w:rsid w:val="00AD7C7C"/>
    <w:rsid w:val="00AE1F4E"/>
    <w:rsid w:val="00AE3EE6"/>
    <w:rsid w:val="00AE49DE"/>
    <w:rsid w:val="00AF0842"/>
    <w:rsid w:val="00AF1B3E"/>
    <w:rsid w:val="00AF22B1"/>
    <w:rsid w:val="00AF4B55"/>
    <w:rsid w:val="00B038EF"/>
    <w:rsid w:val="00B13F99"/>
    <w:rsid w:val="00B209F8"/>
    <w:rsid w:val="00B21BFF"/>
    <w:rsid w:val="00B21F0E"/>
    <w:rsid w:val="00B33B0C"/>
    <w:rsid w:val="00B3490B"/>
    <w:rsid w:val="00B40E42"/>
    <w:rsid w:val="00B4742A"/>
    <w:rsid w:val="00B47E36"/>
    <w:rsid w:val="00B5153B"/>
    <w:rsid w:val="00B57BEC"/>
    <w:rsid w:val="00B65E81"/>
    <w:rsid w:val="00B74211"/>
    <w:rsid w:val="00B749C9"/>
    <w:rsid w:val="00B76387"/>
    <w:rsid w:val="00B76DD7"/>
    <w:rsid w:val="00B83898"/>
    <w:rsid w:val="00B927D3"/>
    <w:rsid w:val="00B92C74"/>
    <w:rsid w:val="00B92DEE"/>
    <w:rsid w:val="00B95AC8"/>
    <w:rsid w:val="00BA35A9"/>
    <w:rsid w:val="00BA45BC"/>
    <w:rsid w:val="00BB2E1F"/>
    <w:rsid w:val="00BC0E1C"/>
    <w:rsid w:val="00BC5136"/>
    <w:rsid w:val="00BE1A40"/>
    <w:rsid w:val="00BE5CA1"/>
    <w:rsid w:val="00C011AA"/>
    <w:rsid w:val="00C07B6E"/>
    <w:rsid w:val="00C10BF3"/>
    <w:rsid w:val="00C2316B"/>
    <w:rsid w:val="00C33433"/>
    <w:rsid w:val="00C37640"/>
    <w:rsid w:val="00C52512"/>
    <w:rsid w:val="00C53DED"/>
    <w:rsid w:val="00C67A56"/>
    <w:rsid w:val="00C704A5"/>
    <w:rsid w:val="00C8127A"/>
    <w:rsid w:val="00C81EBC"/>
    <w:rsid w:val="00C8216B"/>
    <w:rsid w:val="00C83A3F"/>
    <w:rsid w:val="00C97581"/>
    <w:rsid w:val="00C97B3B"/>
    <w:rsid w:val="00CA05AC"/>
    <w:rsid w:val="00CA1A02"/>
    <w:rsid w:val="00CA3284"/>
    <w:rsid w:val="00CC0041"/>
    <w:rsid w:val="00CC4F86"/>
    <w:rsid w:val="00CD5A3F"/>
    <w:rsid w:val="00CE33B8"/>
    <w:rsid w:val="00CF0A68"/>
    <w:rsid w:val="00CF1EAD"/>
    <w:rsid w:val="00D001CD"/>
    <w:rsid w:val="00D026DE"/>
    <w:rsid w:val="00D10C30"/>
    <w:rsid w:val="00D20BA3"/>
    <w:rsid w:val="00D21720"/>
    <w:rsid w:val="00D34A41"/>
    <w:rsid w:val="00D44D88"/>
    <w:rsid w:val="00D4595D"/>
    <w:rsid w:val="00D45E68"/>
    <w:rsid w:val="00D50E79"/>
    <w:rsid w:val="00D52FF0"/>
    <w:rsid w:val="00D55D82"/>
    <w:rsid w:val="00D55F8F"/>
    <w:rsid w:val="00D709AB"/>
    <w:rsid w:val="00D91213"/>
    <w:rsid w:val="00DA1A7D"/>
    <w:rsid w:val="00DA2811"/>
    <w:rsid w:val="00DA5C47"/>
    <w:rsid w:val="00DA7DD9"/>
    <w:rsid w:val="00DB0FB5"/>
    <w:rsid w:val="00DB75A0"/>
    <w:rsid w:val="00DD0BBE"/>
    <w:rsid w:val="00DD3747"/>
    <w:rsid w:val="00DE12D0"/>
    <w:rsid w:val="00DE1434"/>
    <w:rsid w:val="00DE452F"/>
    <w:rsid w:val="00DE49C9"/>
    <w:rsid w:val="00DE70CC"/>
    <w:rsid w:val="00DF34F7"/>
    <w:rsid w:val="00E11C39"/>
    <w:rsid w:val="00E16376"/>
    <w:rsid w:val="00E21F22"/>
    <w:rsid w:val="00E2398E"/>
    <w:rsid w:val="00E264E6"/>
    <w:rsid w:val="00E268B6"/>
    <w:rsid w:val="00E32BBE"/>
    <w:rsid w:val="00E620D9"/>
    <w:rsid w:val="00E6387D"/>
    <w:rsid w:val="00E72348"/>
    <w:rsid w:val="00E7797B"/>
    <w:rsid w:val="00E80747"/>
    <w:rsid w:val="00E82EFA"/>
    <w:rsid w:val="00E8331E"/>
    <w:rsid w:val="00E92F20"/>
    <w:rsid w:val="00E968EB"/>
    <w:rsid w:val="00EA75DA"/>
    <w:rsid w:val="00EB5F2B"/>
    <w:rsid w:val="00EC0F17"/>
    <w:rsid w:val="00EC4980"/>
    <w:rsid w:val="00ED366C"/>
    <w:rsid w:val="00ED5481"/>
    <w:rsid w:val="00ED6CA3"/>
    <w:rsid w:val="00EE1C66"/>
    <w:rsid w:val="00EE4C8F"/>
    <w:rsid w:val="00EF28DB"/>
    <w:rsid w:val="00EF3A2A"/>
    <w:rsid w:val="00EF59AE"/>
    <w:rsid w:val="00EF6362"/>
    <w:rsid w:val="00F077F1"/>
    <w:rsid w:val="00F12CF1"/>
    <w:rsid w:val="00F20940"/>
    <w:rsid w:val="00F24B73"/>
    <w:rsid w:val="00F265F7"/>
    <w:rsid w:val="00F333E6"/>
    <w:rsid w:val="00F35667"/>
    <w:rsid w:val="00F40921"/>
    <w:rsid w:val="00F536DB"/>
    <w:rsid w:val="00F70C83"/>
    <w:rsid w:val="00F812CB"/>
    <w:rsid w:val="00F8489E"/>
    <w:rsid w:val="00F85A5B"/>
    <w:rsid w:val="00F96FB9"/>
    <w:rsid w:val="00F974FB"/>
    <w:rsid w:val="00FA1AA4"/>
    <w:rsid w:val="00FA644C"/>
    <w:rsid w:val="00FB1F90"/>
    <w:rsid w:val="00FB5126"/>
    <w:rsid w:val="00FC35C2"/>
    <w:rsid w:val="00FD44F2"/>
    <w:rsid w:val="00FD67C3"/>
    <w:rsid w:val="00FE5E42"/>
    <w:rsid w:val="00FE62C9"/>
    <w:rsid w:val="00FF1D40"/>
    <w:rsid w:val="00FF5075"/>
    <w:rsid w:val="00FF6833"/>
    <w:rsid w:val="00FF757A"/>
    <w:rsid w:val="00FF7808"/>
    <w:rsid w:val="01EA5991"/>
    <w:rsid w:val="01FF7A12"/>
    <w:rsid w:val="039514F9"/>
    <w:rsid w:val="04044A17"/>
    <w:rsid w:val="052B773C"/>
    <w:rsid w:val="05906AAF"/>
    <w:rsid w:val="059C4889"/>
    <w:rsid w:val="07AF3D02"/>
    <w:rsid w:val="0A2370C6"/>
    <w:rsid w:val="0A397505"/>
    <w:rsid w:val="0B06267E"/>
    <w:rsid w:val="0C9F311E"/>
    <w:rsid w:val="0E9F43CC"/>
    <w:rsid w:val="0F876579"/>
    <w:rsid w:val="10BA53FD"/>
    <w:rsid w:val="10CC0724"/>
    <w:rsid w:val="11EA42A8"/>
    <w:rsid w:val="128559ED"/>
    <w:rsid w:val="12D41AE2"/>
    <w:rsid w:val="148E47F1"/>
    <w:rsid w:val="15510807"/>
    <w:rsid w:val="174C7D83"/>
    <w:rsid w:val="198260F2"/>
    <w:rsid w:val="1BA15230"/>
    <w:rsid w:val="1DEA6A1F"/>
    <w:rsid w:val="21380F88"/>
    <w:rsid w:val="219519F6"/>
    <w:rsid w:val="229028C4"/>
    <w:rsid w:val="22EE5ADF"/>
    <w:rsid w:val="2D6E2846"/>
    <w:rsid w:val="2DDA5646"/>
    <w:rsid w:val="2E1375C0"/>
    <w:rsid w:val="2F056D28"/>
    <w:rsid w:val="3396172D"/>
    <w:rsid w:val="35593948"/>
    <w:rsid w:val="3A941228"/>
    <w:rsid w:val="3A9D7939"/>
    <w:rsid w:val="3DAC503D"/>
    <w:rsid w:val="3F080748"/>
    <w:rsid w:val="3FF86B5D"/>
    <w:rsid w:val="41651556"/>
    <w:rsid w:val="43F0082A"/>
    <w:rsid w:val="472D6E53"/>
    <w:rsid w:val="4783193C"/>
    <w:rsid w:val="481600E5"/>
    <w:rsid w:val="490922AC"/>
    <w:rsid w:val="49E14B04"/>
    <w:rsid w:val="4E53467D"/>
    <w:rsid w:val="4F78446F"/>
    <w:rsid w:val="515F1003"/>
    <w:rsid w:val="51F62284"/>
    <w:rsid w:val="530A7468"/>
    <w:rsid w:val="53B3008C"/>
    <w:rsid w:val="54AD73FE"/>
    <w:rsid w:val="55AB141B"/>
    <w:rsid w:val="56324BE3"/>
    <w:rsid w:val="5B0978DA"/>
    <w:rsid w:val="5F8B39D3"/>
    <w:rsid w:val="6082642D"/>
    <w:rsid w:val="636B451F"/>
    <w:rsid w:val="665D1E08"/>
    <w:rsid w:val="67F77CF3"/>
    <w:rsid w:val="6A653070"/>
    <w:rsid w:val="6AF5255C"/>
    <w:rsid w:val="6BE874AB"/>
    <w:rsid w:val="6C78052C"/>
    <w:rsid w:val="70A370D3"/>
    <w:rsid w:val="70D95BDD"/>
    <w:rsid w:val="722F57F2"/>
    <w:rsid w:val="72BC52B4"/>
    <w:rsid w:val="75656DAA"/>
    <w:rsid w:val="785D6FC2"/>
    <w:rsid w:val="7D0C135E"/>
    <w:rsid w:val="7EC8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name="Body Text" w:locked="1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_GB231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unhideWhenUsed/>
    <w:qFormat/>
    <w:locked/>
    <w:uiPriority w:val="99"/>
    <w:pPr>
      <w:spacing w:after="120" w:afterLines="0" w:afterAutospacing="0"/>
    </w:pPr>
  </w:style>
  <w:style w:type="paragraph" w:styleId="5">
    <w:name w:val="Body Text Indent"/>
    <w:basedOn w:val="1"/>
    <w:link w:val="22"/>
    <w:qFormat/>
    <w:locked/>
    <w:uiPriority w:val="99"/>
    <w:pPr>
      <w:ind w:firstLine="720" w:firstLineChars="225"/>
    </w:pPr>
    <w:rPr>
      <w:kern w:val="0"/>
      <w:sz w:val="24"/>
    </w:rPr>
  </w:style>
  <w:style w:type="paragraph" w:styleId="6">
    <w:name w:val="Plain Text"/>
    <w:basedOn w:val="1"/>
    <w:link w:val="23"/>
    <w:qFormat/>
    <w:locked/>
    <w:uiPriority w:val="99"/>
    <w:rPr>
      <w:rFonts w:ascii="宋体" w:hAnsi="Courier New"/>
      <w:kern w:val="0"/>
      <w:szCs w:val="21"/>
    </w:rPr>
  </w:style>
  <w:style w:type="paragraph" w:styleId="7">
    <w:name w:val="Balloon Text"/>
    <w:basedOn w:val="1"/>
    <w:link w:val="20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HTML Preformatted"/>
    <w:basedOn w:val="1"/>
    <w:link w:val="1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99"/>
    <w:rPr>
      <w:rFonts w:cs="Times New Roman"/>
    </w:rPr>
  </w:style>
  <w:style w:type="character" w:styleId="16">
    <w:name w:val="Hyperlink"/>
    <w:basedOn w:val="13"/>
    <w:semiHidden/>
    <w:unhideWhenUsed/>
    <w:qFormat/>
    <w:locked/>
    <w:uiPriority w:val="99"/>
    <w:rPr>
      <w:color w:val="0000FF"/>
      <w:u w:val="single"/>
    </w:rPr>
  </w:style>
  <w:style w:type="character" w:customStyle="1" w:styleId="17">
    <w:name w:val="页脚 字符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link w:val="9"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HTML 预设格式 字符"/>
    <w:link w:val="10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20">
    <w:name w:val="批注框文本 字符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字符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纯文本 字符"/>
    <w:link w:val="6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4">
    <w:name w:val="标题 3 Char"/>
    <w:link w:val="3"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80F41-3C6F-4E87-8388-F6BE52D46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388</Words>
  <Characters>2215</Characters>
  <Lines>18</Lines>
  <Paragraphs>5</Paragraphs>
  <TotalTime>30</TotalTime>
  <ScaleCrop>false</ScaleCrop>
  <LinksUpToDate>false</LinksUpToDate>
  <CharactersWithSpaces>2598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2022-05-08T07:07:00Z</dcterms:created>
  <dc:creator>微软用户</dc:creator>
  <cp:lastModifiedBy>王键1</cp:lastModifiedBy>
  <cp:lastPrinted>2025-09-02T02:15:00Z</cp:lastPrinted>
  <dcterms:modified xsi:type="dcterms:W3CDTF">2025-09-08T08:41:52Z</dcterms:modified>
  <dc:title>莱芜钢铁集团有限公司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48B5ACCCCAF446CC8246E7A2A8A95C78</vt:lpwstr>
  </property>
</Properties>
</file>