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6DB9">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山东钢铁</w:t>
      </w:r>
      <w:r>
        <w:rPr>
          <w:rFonts w:hint="eastAsia" w:ascii="方正小标宋简体" w:eastAsia="方正小标宋简体"/>
          <w:sz w:val="44"/>
          <w:szCs w:val="44"/>
          <w:lang w:val="en-US" w:eastAsia="zh-CN"/>
        </w:rPr>
        <w:t>集团日照有限公司</w:t>
      </w:r>
    </w:p>
    <w:p w14:paraId="442834E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bookmarkStart w:id="0" w:name="公告名称"/>
      <w:r>
        <w:rPr>
          <w:rFonts w:hint="eastAsia" w:ascii="方正小标宋简体" w:eastAsia="方正小标宋简体"/>
          <w:sz w:val="44"/>
          <w:szCs w:val="44"/>
          <w:lang w:val="en-US" w:eastAsia="zh-CN"/>
        </w:rPr>
        <w:t>日照公司危废物资竞卖</w:t>
      </w:r>
      <w:r>
        <w:rPr>
          <w:rFonts w:hint="default" w:ascii="方正小标宋简体" w:eastAsia="方正小标宋简体"/>
          <w:sz w:val="44"/>
          <w:szCs w:val="44"/>
          <w:lang w:val="en-US" w:eastAsia="zh-CN"/>
        </w:rPr>
        <w:t>公告202</w:t>
      </w:r>
      <w:r>
        <w:rPr>
          <w:rFonts w:hint="eastAsia" w:ascii="方正小标宋简体" w:eastAsia="方正小标宋简体"/>
          <w:sz w:val="44"/>
          <w:szCs w:val="44"/>
          <w:lang w:val="en-US" w:eastAsia="zh-CN"/>
        </w:rPr>
        <w:t>50917</w:t>
      </w:r>
      <w:bookmarkEnd w:id="0"/>
    </w:p>
    <w:p w14:paraId="6F8DD867">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p>
    <w:p w14:paraId="7CE14645">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w:t>
      </w:r>
      <w:r>
        <w:rPr>
          <w:rFonts w:hint="eastAsia" w:ascii="仿宋_GB2312" w:hAnsi="宋体" w:eastAsia="仿宋_GB2312" w:cs="仿宋_GB2312"/>
          <w:kern w:val="0"/>
          <w:sz w:val="32"/>
          <w:szCs w:val="32"/>
          <w:lang w:val="en-US" w:eastAsia="zh-CN"/>
        </w:rPr>
        <w:t>集团日照</w:t>
      </w:r>
      <w:r>
        <w:rPr>
          <w:rFonts w:hint="eastAsia" w:ascii="仿宋_GB2312" w:hAnsi="宋体" w:eastAsia="仿宋_GB2312" w:cs="仿宋_GB2312"/>
          <w:kern w:val="0"/>
          <w:sz w:val="32"/>
          <w:szCs w:val="32"/>
        </w:rPr>
        <w:t>有限公司现组织对</w:t>
      </w:r>
      <w:r>
        <w:rPr>
          <w:rFonts w:hint="eastAsia" w:ascii="仿宋_GB2312" w:hAnsi="宋体" w:eastAsia="仿宋_GB2312" w:cs="仿宋_GB2312"/>
          <w:kern w:val="0"/>
          <w:sz w:val="32"/>
          <w:szCs w:val="32"/>
          <w:lang w:val="en-US" w:eastAsia="zh-CN"/>
        </w:rPr>
        <w:t>公司一批危废物资</w:t>
      </w:r>
      <w:r>
        <w:rPr>
          <w:rFonts w:hint="eastAsia" w:ascii="仿宋_GB2312" w:hAnsi="宋体" w:eastAsia="仿宋_GB2312" w:cs="仿宋_GB2312"/>
          <w:kern w:val="0"/>
          <w:sz w:val="32"/>
          <w:szCs w:val="32"/>
        </w:rPr>
        <w:t>进行公开销售，相关事项公告如下：</w:t>
      </w:r>
      <w:bookmarkStart w:id="12" w:name="_GoBack"/>
      <w:bookmarkEnd w:id="12"/>
    </w:p>
    <w:p w14:paraId="15622FE7">
      <w:pPr>
        <w:pStyle w:val="2"/>
        <w:pageBreakBefore w:val="0"/>
        <w:kinsoku/>
        <w:wordWrap/>
        <w:overflowPunct/>
        <w:topLinePunct w:val="0"/>
        <w:autoSpaceDE/>
        <w:autoSpaceDN/>
        <w:bidi w:val="0"/>
        <w:adjustRightInd/>
        <w:snapToGrid/>
        <w:spacing w:line="560" w:lineRule="exact"/>
      </w:pPr>
      <w:r>
        <w:rPr>
          <w:rFonts w:hint="eastAsia"/>
        </w:rPr>
        <w:t>本次公开销售的销售主体及资源</w:t>
      </w:r>
    </w:p>
    <w:p w14:paraId="16081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64DEF2C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资源</w:t>
      </w:r>
      <w:r>
        <w:rPr>
          <w:rFonts w:hint="eastAsia" w:ascii="仿宋_GB2312" w:hAnsi="宋体" w:eastAsia="仿宋_GB2312" w:cs="仿宋_GB2312"/>
          <w:color w:val="auto"/>
          <w:kern w:val="0"/>
          <w:sz w:val="32"/>
          <w:szCs w:val="32"/>
        </w:rPr>
        <w:t>：</w:t>
      </w:r>
    </w:p>
    <w:tbl>
      <w:tblPr>
        <w:tblStyle w:val="16"/>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522"/>
        <w:gridCol w:w="1676"/>
        <w:gridCol w:w="1693"/>
        <w:gridCol w:w="1960"/>
        <w:gridCol w:w="1238"/>
        <w:gridCol w:w="1644"/>
      </w:tblGrid>
      <w:tr w14:paraId="4483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blHeader/>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AED2">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包号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4B5D">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合并名称</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4142">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组分名称</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1720">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危废代码</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8367">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单组分</w:t>
            </w:r>
            <w:r>
              <w:rPr>
                <w:rFonts w:hint="eastAsia" w:ascii="宋体" w:hAnsi="宋体" w:eastAsia="宋体" w:cs="宋体"/>
                <w:color w:val="000000"/>
                <w:kern w:val="0"/>
                <w:sz w:val="24"/>
                <w:szCs w:val="24"/>
                <w:lang w:val="en-US" w:eastAsia="zh-CN" w:bidi="ar"/>
              </w:rPr>
              <w:t>预估</w:t>
            </w:r>
            <w:r>
              <w:rPr>
                <w:rFonts w:hint="eastAsia" w:ascii="宋体" w:hAnsi="宋体" w:eastAsia="宋体" w:cs="宋体"/>
                <w:color w:val="000000"/>
                <w:kern w:val="0"/>
                <w:sz w:val="24"/>
                <w:szCs w:val="24"/>
                <w:lang w:bidi="ar"/>
              </w:rPr>
              <w:t>重量</w:t>
            </w:r>
          </w:p>
          <w:p w14:paraId="020653E7">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（吨）</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99EE">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预估</w:t>
            </w:r>
            <w:r>
              <w:rPr>
                <w:rFonts w:hint="eastAsia" w:ascii="宋体" w:hAnsi="宋体" w:eastAsia="宋体" w:cs="宋体"/>
                <w:color w:val="000000"/>
                <w:kern w:val="0"/>
                <w:sz w:val="24"/>
                <w:szCs w:val="24"/>
                <w:lang w:bidi="ar"/>
              </w:rPr>
              <w:t>总重</w:t>
            </w:r>
          </w:p>
          <w:p w14:paraId="13043D2F">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（吨）</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0EFE">
            <w:pPr>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val="en-US" w:eastAsia="zh-CN" w:bidi="ar"/>
              </w:rPr>
              <w:t>来源</w:t>
            </w:r>
          </w:p>
        </w:tc>
      </w:tr>
      <w:tr w14:paraId="4FC4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53" w:type="dxa"/>
            <w:vMerge w:val="restart"/>
            <w:tcBorders>
              <w:top w:val="single" w:color="000000" w:sz="4" w:space="0"/>
              <w:left w:val="single" w:color="000000" w:sz="4" w:space="0"/>
              <w:right w:val="single" w:color="000000" w:sz="4" w:space="0"/>
            </w:tcBorders>
            <w:shd w:val="clear" w:color="auto" w:fill="auto"/>
            <w:noWrap/>
            <w:vAlign w:val="center"/>
          </w:tcPr>
          <w:p w14:paraId="4BFFFCF1">
            <w:pPr>
              <w:pageBreakBefore w:val="0"/>
              <w:widowControl/>
              <w:numPr>
                <w:ilvl w:val="0"/>
                <w:numId w:val="4"/>
              </w:numPr>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p>
        </w:tc>
        <w:tc>
          <w:tcPr>
            <w:tcW w:w="1522" w:type="dxa"/>
            <w:vMerge w:val="restart"/>
            <w:tcBorders>
              <w:top w:val="single" w:color="000000" w:sz="4" w:space="0"/>
              <w:left w:val="single" w:color="000000" w:sz="4" w:space="0"/>
              <w:right w:val="single" w:color="000000" w:sz="4" w:space="0"/>
            </w:tcBorders>
            <w:shd w:val="clear" w:color="auto" w:fill="auto"/>
            <w:noWrap/>
            <w:vAlign w:val="center"/>
          </w:tcPr>
          <w:p w14:paraId="14479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废矿物油</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C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废矿物油</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D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HW08 900-249-08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306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w:t>
            </w:r>
          </w:p>
        </w:tc>
        <w:tc>
          <w:tcPr>
            <w:tcW w:w="1238" w:type="dxa"/>
            <w:vMerge w:val="restart"/>
            <w:tcBorders>
              <w:top w:val="single" w:color="000000" w:sz="4" w:space="0"/>
              <w:left w:val="single" w:color="000000" w:sz="4" w:space="0"/>
              <w:right w:val="single" w:color="000000" w:sz="4" w:space="0"/>
            </w:tcBorders>
            <w:shd w:val="clear" w:color="auto" w:fill="auto"/>
            <w:noWrap/>
            <w:vAlign w:val="center"/>
          </w:tcPr>
          <w:p w14:paraId="7CC0D7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83</w:t>
            </w:r>
          </w:p>
        </w:tc>
        <w:tc>
          <w:tcPr>
            <w:tcW w:w="1644" w:type="dxa"/>
            <w:vMerge w:val="restart"/>
            <w:tcBorders>
              <w:top w:val="single" w:color="000000" w:sz="4" w:space="0"/>
              <w:left w:val="single" w:color="000000" w:sz="4" w:space="0"/>
              <w:right w:val="single" w:color="000000" w:sz="4" w:space="0"/>
            </w:tcBorders>
            <w:shd w:val="clear" w:color="auto" w:fill="auto"/>
            <w:noWrap/>
            <w:vAlign w:val="center"/>
          </w:tcPr>
          <w:p w14:paraId="2066DAC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各分厂</w:t>
            </w:r>
          </w:p>
        </w:tc>
      </w:tr>
      <w:tr w14:paraId="3C06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53" w:type="dxa"/>
            <w:vMerge w:val="continue"/>
            <w:tcBorders>
              <w:left w:val="single" w:color="000000" w:sz="4" w:space="0"/>
              <w:bottom w:val="single" w:color="000000" w:sz="4" w:space="0"/>
              <w:right w:val="single" w:color="000000" w:sz="4" w:space="0"/>
            </w:tcBorders>
            <w:shd w:val="clear" w:color="auto" w:fill="auto"/>
            <w:noWrap/>
            <w:vAlign w:val="center"/>
          </w:tcPr>
          <w:p w14:paraId="658CE6D3">
            <w:pPr>
              <w:rPr>
                <w:rFonts w:hint="eastAsia" w:ascii="宋体" w:hAnsi="宋体" w:eastAsia="宋体" w:cs="宋体"/>
                <w:i w:val="0"/>
                <w:iCs w:val="0"/>
                <w:color w:val="000000"/>
                <w:sz w:val="24"/>
                <w:szCs w:val="24"/>
                <w:u w:val="none"/>
              </w:rPr>
            </w:pPr>
          </w:p>
        </w:tc>
        <w:tc>
          <w:tcPr>
            <w:tcW w:w="1522" w:type="dxa"/>
            <w:vMerge w:val="continue"/>
            <w:tcBorders>
              <w:left w:val="single" w:color="000000" w:sz="4" w:space="0"/>
              <w:bottom w:val="single" w:color="000000" w:sz="4" w:space="0"/>
              <w:right w:val="single" w:color="000000" w:sz="4" w:space="0"/>
            </w:tcBorders>
            <w:shd w:val="clear" w:color="auto" w:fill="auto"/>
            <w:noWrap/>
            <w:vAlign w:val="center"/>
          </w:tcPr>
          <w:p w14:paraId="57A558CF">
            <w:pPr>
              <w:jc w:val="center"/>
              <w:rPr>
                <w:rFonts w:hint="eastAsia" w:ascii="宋体" w:hAnsi="宋体" w:eastAsia="宋体" w:cs="宋体"/>
                <w:i w:val="0"/>
                <w:iCs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2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废液压油</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1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HW08 900-218-08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C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38" w:type="dxa"/>
            <w:vMerge w:val="continue"/>
            <w:tcBorders>
              <w:left w:val="single" w:color="000000" w:sz="4" w:space="0"/>
              <w:bottom w:val="single" w:color="000000" w:sz="4" w:space="0"/>
              <w:right w:val="single" w:color="000000" w:sz="4" w:space="0"/>
            </w:tcBorders>
            <w:shd w:val="clear" w:color="auto" w:fill="auto"/>
            <w:noWrap/>
            <w:vAlign w:val="center"/>
          </w:tcPr>
          <w:p w14:paraId="0D71C1D0">
            <w:pPr>
              <w:jc w:val="center"/>
              <w:rPr>
                <w:rFonts w:hint="eastAsia" w:ascii="宋体" w:hAnsi="宋体" w:eastAsia="宋体" w:cs="宋体"/>
                <w:i w:val="0"/>
                <w:iCs w:val="0"/>
                <w:color w:val="000000"/>
                <w:sz w:val="24"/>
                <w:szCs w:val="24"/>
                <w:u w:val="none"/>
              </w:rPr>
            </w:pPr>
          </w:p>
        </w:tc>
        <w:tc>
          <w:tcPr>
            <w:tcW w:w="1644" w:type="dxa"/>
            <w:vMerge w:val="continue"/>
            <w:tcBorders>
              <w:left w:val="single" w:color="000000" w:sz="4" w:space="0"/>
              <w:bottom w:val="single" w:color="000000" w:sz="4" w:space="0"/>
              <w:right w:val="single" w:color="000000" w:sz="4" w:space="0"/>
            </w:tcBorders>
            <w:shd w:val="clear" w:color="auto" w:fill="auto"/>
            <w:noWrap/>
            <w:vAlign w:val="center"/>
          </w:tcPr>
          <w:p w14:paraId="372D1AF8">
            <w:pPr>
              <w:jc w:val="center"/>
              <w:rPr>
                <w:rFonts w:hint="eastAsia" w:ascii="宋体" w:hAnsi="宋体" w:eastAsia="宋体" w:cs="宋体"/>
                <w:i w:val="0"/>
                <w:iCs w:val="0"/>
                <w:color w:val="000000"/>
                <w:sz w:val="24"/>
                <w:szCs w:val="24"/>
                <w:u w:val="none"/>
              </w:rPr>
            </w:pPr>
          </w:p>
        </w:tc>
      </w:tr>
    </w:tbl>
    <w:p w14:paraId="6B9E1A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重量单位为吨，为预估数量，以拍卖方的实际出库的重量为准，不接受由于预估数量差异或货品指标差异而产生的任何异议。</w:t>
      </w:r>
      <w:r>
        <w:rPr>
          <w:rFonts w:hint="eastAsia" w:ascii="黑体" w:hAnsi="黑体" w:eastAsia="黑体" w:cs="黑体"/>
          <w:color w:val="auto"/>
          <w:kern w:val="0"/>
          <w:sz w:val="28"/>
          <w:szCs w:val="28"/>
          <w:em w:val="dot"/>
          <w:lang w:val="en-US" w:eastAsia="zh-CN"/>
        </w:rPr>
        <w:t>注意，各标的废旧物资须以整体报价，不进行除杂</w:t>
      </w:r>
      <w:r>
        <w:rPr>
          <w:rFonts w:hint="eastAsia" w:ascii="黑体" w:hAnsi="黑体" w:eastAsia="黑体" w:cs="黑体"/>
          <w:color w:val="auto"/>
          <w:kern w:val="0"/>
          <w:sz w:val="28"/>
          <w:szCs w:val="28"/>
          <w:lang w:val="en-US" w:eastAsia="zh-CN"/>
        </w:rPr>
        <w:t>。不出具质保书、不受理异议。资源储存在山东钢铁集团日照有限公司各分厂。</w:t>
      </w:r>
    </w:p>
    <w:p w14:paraId="2EA04111">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每次派车两种</w:t>
      </w:r>
      <w:r>
        <w:rPr>
          <w:rFonts w:hint="eastAsia" w:ascii="黑体" w:hAnsi="黑体" w:eastAsia="黑体" w:cs="黑体"/>
          <w:b w:val="0"/>
          <w:bCs/>
          <w:kern w:val="0"/>
          <w:sz w:val="28"/>
          <w:szCs w:val="28"/>
          <w:lang w:val="en-US" w:eastAsia="zh-CN"/>
        </w:rPr>
        <w:t>及以上</w:t>
      </w:r>
      <w:r>
        <w:rPr>
          <w:rFonts w:hint="eastAsia" w:ascii="黑体" w:hAnsi="黑体" w:eastAsia="黑体" w:cs="黑体"/>
          <w:b w:val="0"/>
          <w:bCs/>
          <w:kern w:val="0"/>
          <w:sz w:val="28"/>
          <w:szCs w:val="28"/>
        </w:rPr>
        <w:t>货品一并转移</w:t>
      </w:r>
      <w:r>
        <w:rPr>
          <w:rFonts w:hint="eastAsia" w:ascii="黑体" w:hAnsi="黑体" w:eastAsia="黑体" w:cs="黑体"/>
          <w:b w:val="0"/>
          <w:bCs/>
          <w:kern w:val="0"/>
          <w:sz w:val="28"/>
          <w:szCs w:val="28"/>
          <w:lang w:val="en-US" w:eastAsia="zh-CN"/>
        </w:rPr>
        <w:t>的</w:t>
      </w:r>
      <w:r>
        <w:rPr>
          <w:rFonts w:hint="eastAsia" w:ascii="黑体" w:hAnsi="黑体" w:eastAsia="黑体" w:cs="黑体"/>
          <w:b w:val="0"/>
          <w:bCs/>
          <w:kern w:val="0"/>
          <w:sz w:val="28"/>
          <w:szCs w:val="28"/>
        </w:rPr>
        <w:t>，分别开具联单。</w:t>
      </w:r>
    </w:p>
    <w:p w14:paraId="7E8F300D">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危废对应产生期限为：2025年10月1日至2025年12月31日。</w:t>
      </w:r>
    </w:p>
    <w:p w14:paraId="7BC13FE3">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color w:val="auto"/>
          <w:kern w:val="0"/>
          <w:sz w:val="28"/>
          <w:szCs w:val="28"/>
          <w:em w:val="dot"/>
          <w:lang w:val="en-US" w:eastAsia="zh-CN"/>
        </w:rPr>
        <w:t>废矿物油为含桶计重、报价。</w:t>
      </w:r>
    </w:p>
    <w:p w14:paraId="303C7CEB">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各包货品</w:t>
      </w:r>
      <w:r>
        <w:rPr>
          <w:rFonts w:hint="eastAsia" w:ascii="黑体" w:hAnsi="黑体" w:eastAsia="黑体" w:cs="黑体"/>
          <w:b w:val="0"/>
          <w:bCs/>
          <w:kern w:val="0"/>
          <w:sz w:val="28"/>
          <w:szCs w:val="28"/>
        </w:rPr>
        <w:t>入厂约车、过磅、出厂等需要投标方自行办理。流程问题可咨询相应客服电话。</w:t>
      </w:r>
    </w:p>
    <w:p w14:paraId="1846499B">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要求</w:t>
      </w:r>
      <w:r>
        <w:rPr>
          <w:rFonts w:hint="eastAsia" w:ascii="黑体" w:hAnsi="黑体" w:eastAsia="黑体" w:cs="黑体"/>
          <w:b w:val="0"/>
          <w:bCs/>
          <w:kern w:val="0"/>
          <w:sz w:val="28"/>
          <w:szCs w:val="28"/>
          <w:lang w:val="en-US" w:eastAsia="zh-CN"/>
        </w:rPr>
        <w:t>按产生规律</w:t>
      </w:r>
      <w:r>
        <w:rPr>
          <w:rFonts w:hint="eastAsia" w:ascii="黑体" w:hAnsi="黑体" w:eastAsia="黑体" w:cs="黑体"/>
          <w:b w:val="0"/>
          <w:bCs/>
          <w:kern w:val="0"/>
          <w:sz w:val="28"/>
          <w:szCs w:val="28"/>
        </w:rPr>
        <w:t>或根据现场需求进行转移，数量仅为预估数量</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以实际产生量为准。</w:t>
      </w:r>
    </w:p>
    <w:p w14:paraId="196E1856">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在循环宝平台，公开增价模式的</w:t>
      </w:r>
      <w:r>
        <w:rPr>
          <w:rFonts w:hint="eastAsia" w:ascii="黑体" w:hAnsi="黑体" w:eastAsia="黑体" w:cs="黑体"/>
          <w:b w:val="0"/>
          <w:bCs/>
          <w:kern w:val="0"/>
          <w:sz w:val="28"/>
          <w:szCs w:val="28"/>
        </w:rPr>
        <w:t>，为买方付款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税率为13%</w:t>
      </w:r>
      <w:r>
        <w:rPr>
          <w:rFonts w:hint="eastAsia" w:ascii="黑体" w:hAnsi="黑体" w:eastAsia="黑体" w:cs="黑体"/>
          <w:b w:val="0"/>
          <w:bCs/>
          <w:kern w:val="0"/>
          <w:sz w:val="28"/>
          <w:szCs w:val="28"/>
        </w:rPr>
        <w:t>；</w:t>
      </w:r>
      <w:r>
        <w:rPr>
          <w:rFonts w:hint="eastAsia" w:ascii="黑体" w:hAnsi="黑体" w:eastAsia="黑体" w:cs="黑体"/>
          <w:b w:val="0"/>
          <w:bCs/>
          <w:kern w:val="0"/>
          <w:sz w:val="28"/>
          <w:szCs w:val="28"/>
          <w:lang w:val="en-US" w:eastAsia="zh-CN"/>
        </w:rPr>
        <w:t>反向竞价模式</w:t>
      </w:r>
      <w:r>
        <w:rPr>
          <w:rFonts w:hint="eastAsia" w:ascii="黑体" w:hAnsi="黑体" w:eastAsia="黑体" w:cs="黑体"/>
          <w:b w:val="0"/>
          <w:bCs/>
          <w:kern w:val="0"/>
          <w:sz w:val="28"/>
          <w:szCs w:val="28"/>
        </w:rPr>
        <w:t>的，为卖方付款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税率为6%</w:t>
      </w:r>
      <w:r>
        <w:rPr>
          <w:rFonts w:hint="eastAsia" w:ascii="黑体" w:hAnsi="黑体" w:eastAsia="黑体" w:cs="黑体"/>
          <w:b w:val="0"/>
          <w:bCs/>
          <w:kern w:val="0"/>
          <w:sz w:val="28"/>
          <w:szCs w:val="28"/>
        </w:rPr>
        <w:t>。</w:t>
      </w:r>
    </w:p>
    <w:p w14:paraId="6C427EBD">
      <w:pPr>
        <w:pStyle w:val="2"/>
        <w:pageBreakBefore w:val="0"/>
        <w:kinsoku/>
        <w:wordWrap/>
        <w:overflowPunct/>
        <w:topLinePunct w:val="0"/>
        <w:autoSpaceDE/>
        <w:autoSpaceDN/>
        <w:bidi w:val="0"/>
        <w:adjustRightInd/>
        <w:snapToGrid/>
        <w:spacing w:line="560" w:lineRule="exact"/>
      </w:pPr>
      <w:r>
        <w:rPr>
          <w:rFonts w:hint="eastAsia"/>
        </w:rPr>
        <w:t>销售方式</w:t>
      </w:r>
    </w:p>
    <w:p w14:paraId="3DAC5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本批资源明细发布到欧冶</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平台（</w:t>
      </w:r>
      <w:r>
        <w:rPr>
          <w:rFonts w:hint="eastAsia" w:ascii="仿宋_GB2312" w:hAnsi="宋体" w:eastAsia="仿宋_GB2312" w:cs="仿宋_GB2312"/>
          <w:kern w:val="0"/>
          <w:sz w:val="32"/>
          <w:szCs w:val="32"/>
          <w:lang w:val="en-US" w:eastAsia="zh-CN"/>
        </w:rPr>
        <w:t>网址：</w:t>
      </w:r>
      <w:r>
        <w:rPr>
          <w:rFonts w:hint="eastAsia" w:ascii="仿宋_GB2312" w:hAnsi="宋体" w:eastAsia="仿宋_GB2312" w:cs="仿宋_GB2312"/>
          <w:kern w:val="0"/>
          <w:sz w:val="32"/>
          <w:szCs w:val="32"/>
        </w:rPr>
        <w:t>https://www.ouyeel.com/search-ng/exchange/home</w:t>
      </w:r>
      <w:r>
        <w:rPr>
          <w:rFonts w:hint="eastAsia" w:ascii="仿宋_GB2312" w:hAnsi="宋体" w:eastAsia="仿宋_GB2312" w:cs="仿宋_GB2312"/>
          <w:color w:val="auto"/>
          <w:kern w:val="0"/>
          <w:sz w:val="32"/>
          <w:szCs w:val="32"/>
        </w:rPr>
        <w:t>）进行公告</w:t>
      </w:r>
      <w:r>
        <w:rPr>
          <w:rFonts w:hint="eastAsia" w:ascii="仿宋_GB2312" w:hAnsi="宋体" w:eastAsia="仿宋_GB2312" w:cs="仿宋_GB2312"/>
          <w:color w:val="auto"/>
          <w:kern w:val="0"/>
          <w:sz w:val="32"/>
          <w:szCs w:val="32"/>
          <w:lang w:val="en-US" w:eastAsia="zh-CN"/>
        </w:rPr>
        <w:t>。竞价</w:t>
      </w:r>
      <w:r>
        <w:rPr>
          <w:rFonts w:hint="eastAsia" w:ascii="仿宋_GB2312" w:hAnsi="宋体" w:eastAsia="仿宋_GB2312" w:cs="仿宋_GB2312"/>
          <w:kern w:val="0"/>
          <w:sz w:val="32"/>
          <w:szCs w:val="32"/>
        </w:rPr>
        <w:t>成功者与销售主体签订线下合同</w:t>
      </w:r>
      <w:r>
        <w:rPr>
          <w:rFonts w:hint="eastAsia" w:ascii="仿宋_GB2312" w:hAnsi="宋体" w:eastAsia="仿宋_GB2312" w:cs="仿宋_GB2312"/>
          <w:kern w:val="0"/>
          <w:sz w:val="32"/>
          <w:szCs w:val="32"/>
          <w:lang w:eastAsia="zh-CN"/>
        </w:rPr>
        <w:t>。</w:t>
      </w:r>
    </w:p>
    <w:p w14:paraId="1B4ACBB4">
      <w:pPr>
        <w:pStyle w:val="2"/>
        <w:pageBreakBefore w:val="0"/>
        <w:kinsoku/>
        <w:wordWrap/>
        <w:overflowPunct/>
        <w:topLinePunct w:val="0"/>
        <w:autoSpaceDE/>
        <w:autoSpaceDN/>
        <w:bidi w:val="0"/>
        <w:adjustRightInd/>
        <w:snapToGrid/>
        <w:spacing w:line="560" w:lineRule="exact"/>
        <w:rPr>
          <w:rFonts w:ascii="黑体" w:hAnsi="黑体" w:eastAsia="黑体" w:cs="黑体"/>
          <w:b w:val="0"/>
          <w:bCs w:val="0"/>
          <w:kern w:val="0"/>
          <w:sz w:val="32"/>
          <w:szCs w:val="32"/>
        </w:rPr>
      </w:pPr>
      <w:r>
        <w:rPr>
          <w:rFonts w:hint="eastAsia" w:ascii="黑体" w:hAnsi="黑体" w:eastAsia="黑体" w:cs="黑体"/>
          <w:b w:val="0"/>
          <w:bCs w:val="0"/>
          <w:sz w:val="32"/>
          <w:szCs w:val="32"/>
        </w:rPr>
        <w:t>销售</w:t>
      </w:r>
      <w:r>
        <w:rPr>
          <w:rFonts w:hint="eastAsia" w:ascii="黑体" w:hAnsi="黑体" w:eastAsia="黑体" w:cs="黑体"/>
          <w:b w:val="0"/>
          <w:bCs w:val="0"/>
          <w:kern w:val="0"/>
          <w:sz w:val="32"/>
          <w:szCs w:val="32"/>
        </w:rPr>
        <w:t>价格</w:t>
      </w:r>
    </w:p>
    <w:p w14:paraId="02E5E07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本次销售为设底价</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，底价公开。底价由</w:t>
      </w:r>
      <w:r>
        <w:rPr>
          <w:rFonts w:hint="eastAsia" w:ascii="仿宋_GB2312" w:hAnsi="宋体" w:eastAsia="仿宋_GB2312" w:cs="仿宋_GB2312"/>
          <w:kern w:val="0"/>
          <w:sz w:val="32"/>
          <w:szCs w:val="32"/>
          <w:lang w:val="en-US" w:eastAsia="zh-CN"/>
        </w:rPr>
        <w:t>山钢集团日照</w:t>
      </w:r>
      <w:r>
        <w:rPr>
          <w:rFonts w:hint="eastAsia" w:ascii="仿宋_GB2312" w:hAnsi="宋体" w:eastAsia="仿宋_GB2312" w:cs="仿宋_GB2312"/>
          <w:kern w:val="0"/>
          <w:sz w:val="32"/>
          <w:szCs w:val="32"/>
        </w:rPr>
        <w:t>有限公司制定，在开始时间前公布。</w:t>
      </w:r>
      <w:r>
        <w:rPr>
          <w:rFonts w:hint="eastAsia" w:ascii="仿宋_GB2312" w:hAnsi="宋体" w:eastAsia="仿宋_GB2312" w:cs="仿宋_GB2312"/>
          <w:kern w:val="0"/>
          <w:sz w:val="32"/>
          <w:szCs w:val="32"/>
          <w:lang w:val="en-US" w:eastAsia="zh-CN"/>
        </w:rPr>
        <w:t>按照循环宝平台规则确定中标者。</w:t>
      </w:r>
    </w:p>
    <w:p w14:paraId="7C770E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竞价</w:t>
      </w:r>
      <w:r>
        <w:rPr>
          <w:rFonts w:hint="eastAsia" w:ascii="仿宋_GB2312" w:hAnsi="宋体" w:eastAsia="仿宋_GB2312" w:cs="仿宋_GB2312"/>
          <w:kern w:val="0"/>
          <w:sz w:val="32"/>
          <w:szCs w:val="32"/>
        </w:rPr>
        <w:t>价格每次</w:t>
      </w:r>
      <w:r>
        <w:rPr>
          <w:rFonts w:hint="eastAsia" w:ascii="仿宋_GB2312" w:hAnsi="宋体" w:eastAsia="仿宋_GB2312" w:cs="仿宋_GB2312"/>
          <w:kern w:val="0"/>
          <w:sz w:val="32"/>
          <w:szCs w:val="32"/>
          <w:lang w:val="en-US" w:eastAsia="zh-CN"/>
        </w:rPr>
        <w:t>做</w:t>
      </w:r>
      <w:r>
        <w:rPr>
          <w:rFonts w:hint="eastAsia" w:ascii="仿宋_GB2312" w:hAnsi="宋体" w:eastAsia="仿宋_GB2312" w:cs="仿宋_GB2312"/>
          <w:kern w:val="0"/>
          <w:sz w:val="32"/>
          <w:szCs w:val="32"/>
        </w:rPr>
        <w:t>加价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或减价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调整</w:t>
      </w:r>
      <w:r>
        <w:rPr>
          <w:rFonts w:hint="eastAsia" w:ascii="仿宋_GB2312" w:hAnsi="宋体" w:eastAsia="仿宋_GB2312" w:cs="仿宋_GB2312"/>
          <w:kern w:val="0"/>
          <w:sz w:val="32"/>
          <w:szCs w:val="32"/>
        </w:rPr>
        <w:t>幅度要求</w:t>
      </w:r>
      <w:r>
        <w:rPr>
          <w:rFonts w:hint="eastAsia" w:ascii="仿宋_GB2312" w:hAnsi="宋体" w:eastAsia="仿宋_GB2312" w:cs="仿宋_GB2312"/>
          <w:kern w:val="0"/>
          <w:sz w:val="32"/>
          <w:szCs w:val="32"/>
          <w:highlight w:val="none"/>
        </w:rPr>
        <w:t>为</w:t>
      </w:r>
      <w:r>
        <w:rPr>
          <w:rFonts w:hint="eastAsia" w:ascii="仿宋_GB2312" w:hAnsi="宋体" w:eastAsia="仿宋_GB2312" w:cs="仿宋_GB2312"/>
          <w:kern w:val="0"/>
          <w:sz w:val="32"/>
          <w:szCs w:val="32"/>
          <w:highlight w:val="none"/>
          <w:em w:val="dot"/>
          <w:lang w:val="en-US" w:eastAsia="zh-CN"/>
        </w:rPr>
        <w:t>1</w:t>
      </w:r>
      <w:r>
        <w:rPr>
          <w:rFonts w:hint="eastAsia" w:ascii="仿宋_GB2312" w:hAnsi="宋体" w:eastAsia="仿宋_GB2312" w:cs="仿宋_GB2312"/>
          <w:kern w:val="0"/>
          <w:sz w:val="32"/>
          <w:szCs w:val="32"/>
          <w:highlight w:val="none"/>
          <w:em w:val="dot"/>
        </w:rPr>
        <w:t>元</w:t>
      </w:r>
      <w:r>
        <w:rPr>
          <w:rFonts w:ascii="仿宋_GB2312" w:hAnsi="宋体" w:eastAsia="仿宋_GB2312" w:cs="仿宋_GB2312"/>
          <w:kern w:val="0"/>
          <w:sz w:val="32"/>
          <w:szCs w:val="32"/>
          <w:highlight w:val="none"/>
          <w:em w:val="dot"/>
        </w:rPr>
        <w:t>/</w:t>
      </w:r>
      <w:r>
        <w:rPr>
          <w:rFonts w:hint="eastAsia" w:ascii="仿宋_GB2312" w:hAnsi="宋体" w:eastAsia="仿宋_GB2312" w:cs="仿宋_GB2312"/>
          <w:kern w:val="0"/>
          <w:sz w:val="32"/>
          <w:szCs w:val="32"/>
          <w:highlight w:val="none"/>
          <w:em w:val="dot"/>
        </w:rPr>
        <w:t>吨</w:t>
      </w:r>
      <w:r>
        <w:rPr>
          <w:rFonts w:hint="eastAsia" w:ascii="仿宋_GB2312" w:hAnsi="宋体" w:eastAsia="仿宋_GB2312" w:cs="仿宋_GB2312"/>
          <w:kern w:val="0"/>
          <w:sz w:val="32"/>
          <w:szCs w:val="32"/>
          <w:highlight w:val="none"/>
        </w:rPr>
        <w:t>的</w:t>
      </w:r>
      <w:r>
        <w:rPr>
          <w:rFonts w:hint="eastAsia" w:ascii="仿宋_GB2312" w:hAnsi="宋体" w:eastAsia="仿宋_GB2312" w:cs="仿宋_GB2312"/>
          <w:kern w:val="0"/>
          <w:sz w:val="32"/>
          <w:szCs w:val="32"/>
        </w:rPr>
        <w:t>整数倍。</w:t>
      </w:r>
    </w:p>
    <w:p w14:paraId="3DE6908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价格为含税现汇付款价格。</w:t>
      </w:r>
    </w:p>
    <w:p w14:paraId="2C923C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成功者厂内自提，自提车辆为</w:t>
      </w:r>
      <w:r>
        <w:rPr>
          <w:rFonts w:hint="eastAsia" w:ascii="仿宋_GB2312" w:hAnsi="宋体" w:eastAsia="仿宋_GB2312" w:cs="仿宋_GB2312"/>
          <w:color w:val="auto"/>
          <w:kern w:val="0"/>
          <w:sz w:val="32"/>
          <w:szCs w:val="32"/>
          <w:lang w:val="en-US" w:eastAsia="zh-CN"/>
        </w:rPr>
        <w:t>不低于国五标准货车或</w:t>
      </w:r>
      <w:r>
        <w:rPr>
          <w:rFonts w:hint="eastAsia" w:ascii="仿宋_GB2312" w:hAnsi="宋体" w:eastAsia="仿宋_GB2312" w:cs="仿宋_GB2312"/>
          <w:color w:val="auto"/>
          <w:kern w:val="0"/>
          <w:sz w:val="32"/>
          <w:szCs w:val="32"/>
        </w:rPr>
        <w:t>电动</w:t>
      </w:r>
      <w:r>
        <w:rPr>
          <w:rFonts w:hint="eastAsia" w:ascii="仿宋_GB2312" w:hAnsi="宋体" w:eastAsia="仿宋_GB2312" w:cs="仿宋_GB2312"/>
          <w:color w:val="auto"/>
          <w:kern w:val="0"/>
          <w:sz w:val="32"/>
          <w:szCs w:val="32"/>
          <w:lang w:val="en-US" w:eastAsia="zh-CN"/>
        </w:rPr>
        <w:t>等新能源</w:t>
      </w:r>
      <w:r>
        <w:rPr>
          <w:rFonts w:hint="eastAsia" w:ascii="仿宋_GB2312" w:hAnsi="宋体" w:eastAsia="仿宋_GB2312" w:cs="仿宋_GB2312"/>
          <w:color w:val="auto"/>
          <w:kern w:val="0"/>
          <w:sz w:val="32"/>
          <w:szCs w:val="32"/>
        </w:rPr>
        <w:t>车辆，</w:t>
      </w:r>
      <w:r>
        <w:rPr>
          <w:rFonts w:hint="eastAsia" w:ascii="仿宋_GB2312" w:hAnsi="宋体" w:eastAsia="仿宋_GB2312" w:cs="仿宋_GB2312"/>
          <w:color w:val="auto"/>
          <w:kern w:val="0"/>
          <w:sz w:val="32"/>
          <w:szCs w:val="32"/>
          <w:lang w:val="en-US" w:eastAsia="zh-CN"/>
        </w:rPr>
        <w:t>具体</w:t>
      </w:r>
      <w:r>
        <w:rPr>
          <w:rFonts w:hint="eastAsia" w:ascii="仿宋_GB2312" w:hAnsi="宋体" w:eastAsia="仿宋_GB2312" w:cs="仿宋_GB2312"/>
          <w:color w:val="auto"/>
          <w:kern w:val="0"/>
          <w:sz w:val="32"/>
          <w:szCs w:val="32"/>
        </w:rPr>
        <w:t>按照山东钢铁集团日照有限公司规定执行。</w:t>
      </w:r>
    </w:p>
    <w:p w14:paraId="7487D9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销售主体与</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成功者办理结算，结算价格为</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成功价格。</w:t>
      </w:r>
    </w:p>
    <w:p w14:paraId="732B4703">
      <w:pPr>
        <w:pStyle w:val="2"/>
        <w:pageBreakBefore w:val="0"/>
        <w:kinsoku/>
        <w:wordWrap/>
        <w:overflowPunct/>
        <w:topLinePunct w:val="0"/>
        <w:autoSpaceDE/>
        <w:autoSpaceDN/>
        <w:bidi w:val="0"/>
        <w:adjustRightInd/>
        <w:snapToGrid/>
        <w:spacing w:line="560" w:lineRule="exact"/>
        <w:rPr>
          <w:rFonts w:hint="eastAsia"/>
        </w:rPr>
      </w:pPr>
      <w:r>
        <w:rPr>
          <w:rFonts w:hint="eastAsia"/>
        </w:rPr>
        <w:t>资质要求</w:t>
      </w:r>
    </w:p>
    <w:p w14:paraId="7BA3AFF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竞买方须为在国内注册的中国公司，具备一般纳税人资格。</w:t>
      </w:r>
    </w:p>
    <w:p w14:paraId="2CB5885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具有</w:t>
      </w:r>
      <w:r>
        <w:rPr>
          <w:rFonts w:hint="eastAsia" w:ascii="仿宋_GB2312" w:hAnsi="宋体" w:eastAsia="仿宋_GB2312" w:cs="仿宋_GB2312"/>
          <w:kern w:val="0"/>
          <w:sz w:val="32"/>
          <w:szCs w:val="32"/>
          <w:em w:val="dot"/>
          <w:lang w:val="en-US" w:eastAsia="zh-CN" w:bidi="ar-SA"/>
        </w:rPr>
        <w:t>山东省内上述表中各包对应危废代码</w:t>
      </w:r>
      <w:r>
        <w:rPr>
          <w:rFonts w:hint="eastAsia" w:ascii="仿宋_GB2312" w:hAnsi="宋体" w:eastAsia="仿宋_GB2312" w:cs="仿宋_GB2312"/>
          <w:kern w:val="0"/>
          <w:sz w:val="32"/>
          <w:szCs w:val="32"/>
          <w:lang w:val="en-US" w:eastAsia="zh-CN" w:bidi="ar-SA"/>
        </w:rPr>
        <w:t>的危险废物处置或利用资质。</w:t>
      </w:r>
    </w:p>
    <w:p w14:paraId="155B325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同时满足以上要求的客户，按照系统要求及网上投标注册流程，在《山钢集团招标采购与拍卖管理信息平台》完成注册、上传公告要求文件、报名、报价的一系列工作，逐步成功后方可参与（方法见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_Ref149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附件4</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）；注册的法人或授权委托人联系方式须确保畅通。</w:t>
      </w:r>
    </w:p>
    <w:p w14:paraId="3D773CA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公告要求文件：营业执照（合并税务登记证）、危废许可证、授权委托书等材料。上传文件需加盖公司行政章。</w:t>
      </w:r>
    </w:p>
    <w:p w14:paraId="0DFEC43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资质不符，请勿参与，在循环宝平台上的报价视为无效报价。</w:t>
      </w:r>
    </w:p>
    <w:p w14:paraId="13151520">
      <w:pPr>
        <w:pStyle w:val="2"/>
        <w:pageBreakBefore w:val="0"/>
        <w:kinsoku/>
        <w:wordWrap/>
        <w:overflowPunct/>
        <w:topLinePunct w:val="0"/>
        <w:autoSpaceDE/>
        <w:autoSpaceDN/>
        <w:bidi w:val="0"/>
        <w:adjustRightInd/>
        <w:snapToGrid/>
        <w:spacing w:line="560" w:lineRule="exact"/>
        <w:rPr>
          <w:rFonts w:hint="eastAsia"/>
        </w:rPr>
      </w:pPr>
      <w:r>
        <w:rPr>
          <w:rFonts w:hint="eastAsia"/>
        </w:rPr>
        <w:t>参加</w:t>
      </w:r>
      <w:r>
        <w:rPr>
          <w:rFonts w:hint="eastAsia"/>
          <w:lang w:eastAsia="zh-CN"/>
        </w:rPr>
        <w:t>竞价</w:t>
      </w:r>
      <w:r>
        <w:rPr>
          <w:rFonts w:hint="eastAsia"/>
        </w:rPr>
        <w:t>的资格评审及相关要求</w:t>
      </w:r>
    </w:p>
    <w:p w14:paraId="73BEE5D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现场踏勘参与条件：自行准备、穿戴齐全劳保护品（安全帽、长袖工作服、绝缘鞋、口罩等）；提前电话报名预约；准时在日照公司北1门内侧丁字路口（可导航至此）集合（见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_Ref32430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图 2集中汇合点</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）；不按照要求参加踏勘的，视同放弃参加现场看货的权利；未按要求参加现场踏勘且参与报价的，视为对本次产品的属性认同。</w:t>
      </w:r>
    </w:p>
    <w:p w14:paraId="047E02C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本次竞价需要在竞价开始前按照循环宝平台显示实际保证金（含服务费）进行缴纳。</w:t>
      </w:r>
    </w:p>
    <w:p w14:paraId="09443CA4">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山钢集团日照有限公司</w:t>
      </w:r>
      <w:r>
        <w:rPr>
          <w:rFonts w:hint="eastAsia" w:ascii="仿宋_GB2312" w:hAnsi="宋体" w:eastAsia="仿宋_GB2312" w:cs="仿宋_GB2312"/>
          <w:kern w:val="0"/>
          <w:sz w:val="32"/>
          <w:szCs w:val="32"/>
        </w:rPr>
        <w:t>与</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将对缴纳</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保证金的</w:t>
      </w:r>
      <w:r>
        <w:rPr>
          <w:rFonts w:hint="eastAsia" w:ascii="仿宋_GB2312" w:hAnsi="宋体" w:eastAsia="仿宋_GB2312" w:cs="仿宋_GB2312"/>
          <w:kern w:val="0"/>
          <w:sz w:val="32"/>
          <w:szCs w:val="32"/>
          <w:lang w:val="en-US" w:eastAsia="zh-CN"/>
        </w:rPr>
        <w:t>竞价参与者</w:t>
      </w:r>
      <w:r>
        <w:rPr>
          <w:rFonts w:ascii="仿宋_GB2312" w:hAnsi="宋体" w:eastAsia="仿宋_GB2312" w:cs="仿宋_GB2312"/>
          <w:kern w:val="0"/>
          <w:sz w:val="32"/>
          <w:szCs w:val="32"/>
        </w:rPr>
        <w:t>进行资格</w:t>
      </w:r>
      <w:r>
        <w:rPr>
          <w:rFonts w:hint="eastAsia" w:ascii="仿宋_GB2312" w:hAnsi="宋体" w:eastAsia="仿宋_GB2312" w:cs="仿宋_GB2312"/>
          <w:kern w:val="0"/>
          <w:sz w:val="32"/>
          <w:szCs w:val="32"/>
        </w:rPr>
        <w:t>审查</w:t>
      </w:r>
      <w:r>
        <w:rPr>
          <w:rFonts w:ascii="仿宋_GB2312" w:hAnsi="宋体" w:eastAsia="仿宋_GB2312" w:cs="仿宋_GB2312"/>
          <w:kern w:val="0"/>
          <w:sz w:val="32"/>
          <w:szCs w:val="32"/>
        </w:rPr>
        <w:t>。</w:t>
      </w:r>
    </w:p>
    <w:p w14:paraId="5AB1B39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结束2</w:t>
      </w:r>
      <w:r>
        <w:rPr>
          <w:rFonts w:hint="eastAsia" w:ascii="仿宋_GB2312" w:hAnsi="宋体" w:eastAsia="仿宋_GB2312" w:cs="仿宋_GB2312"/>
          <w:kern w:val="0"/>
          <w:sz w:val="32"/>
          <w:szCs w:val="32"/>
          <w:lang w:val="en-US" w:eastAsia="zh-CN"/>
        </w:rPr>
        <w:t>个工作日</w:t>
      </w:r>
      <w:r>
        <w:rPr>
          <w:rFonts w:hint="eastAsia" w:ascii="仿宋_GB2312" w:hAnsi="宋体" w:eastAsia="仿宋_GB2312" w:cs="仿宋_GB2312"/>
          <w:kern w:val="0"/>
          <w:sz w:val="32"/>
          <w:szCs w:val="32"/>
        </w:rPr>
        <w:t>内与销售主体签订合同，并于签订合同之日起3</w:t>
      </w:r>
      <w:r>
        <w:rPr>
          <w:rFonts w:hint="eastAsia" w:ascii="仿宋_GB2312" w:hAnsi="宋体" w:eastAsia="仿宋_GB2312" w:cs="仿宋_GB2312"/>
          <w:kern w:val="0"/>
          <w:sz w:val="32"/>
          <w:szCs w:val="32"/>
          <w:lang w:val="en-US" w:eastAsia="zh-CN"/>
        </w:rPr>
        <w:t>个工作</w:t>
      </w:r>
      <w:r>
        <w:rPr>
          <w:rFonts w:hint="eastAsia" w:ascii="仿宋_GB2312" w:hAnsi="宋体" w:eastAsia="仿宋_GB2312" w:cs="仿宋_GB2312"/>
          <w:kern w:val="0"/>
          <w:sz w:val="32"/>
          <w:szCs w:val="32"/>
        </w:rPr>
        <w:t>日内交齐全部货款，逾期不缴纳者，保证金不予退还，其余按照平台规定执行。签订合同后不履行交款、提货义务的，按合同追究违约责任，销售主体有权取消其今后</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资格并有权扣罚</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w:t>
      </w:r>
    </w:p>
    <w:p w14:paraId="4FA8FEC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过程中保证金按照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规定在平台中冻结，未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成功者保证金在</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结束后即按照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规定解冻，</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成功者向销售主体缴纳全部货款后给予解冻。</w:t>
      </w:r>
    </w:p>
    <w:p w14:paraId="7673D43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买方须严格遵守日照公司相关的管理规定，服从现场管理，及时安排车辆发运；以卖方的实际出库的指标、重量为准，不接受由于预估数量差异或货品指标差异或包装差异而产生的任何异议。</w:t>
      </w:r>
    </w:p>
    <w:p w14:paraId="2691249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交货方式：买方自提，提货车辆须为符合山东钢铁集团日照有限公司环保等要求的车辆。车辆匹配现场装车条件，服从现场人员管理，及时清运，保障生产顺行，进厂车辆须保证水箱无水。</w:t>
      </w:r>
    </w:p>
    <w:p w14:paraId="6706106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反向竞价方式</w:t>
      </w:r>
      <w:r>
        <w:rPr>
          <w:rFonts w:hint="eastAsia" w:ascii="仿宋_GB2312" w:hAnsi="宋体" w:eastAsia="仿宋_GB2312" w:cs="仿宋_GB2312"/>
          <w:kern w:val="0"/>
          <w:sz w:val="32"/>
          <w:szCs w:val="32"/>
          <w:lang w:val="en-US" w:eastAsia="zh-CN" w:bidi="ar-SA"/>
        </w:rPr>
        <w:t>：报价最高的买方须按照卖方要求在规定时间内缴纳标的物总货款的5%作为保证金，并签订承诺函（详见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_Ref8462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附件5</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），合同履行完毕且履行阶段无违约的情况下，全额退还所缴纳的保证金，期间不计利息。</w:t>
      </w:r>
    </w:p>
    <w:p w14:paraId="139FC54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公开增价方式</w:t>
      </w:r>
      <w:r>
        <w:rPr>
          <w:rFonts w:hint="eastAsia" w:ascii="仿宋_GB2312" w:hAnsi="宋体" w:eastAsia="仿宋_GB2312" w:cs="仿宋_GB2312"/>
          <w:kern w:val="0"/>
          <w:sz w:val="32"/>
          <w:szCs w:val="32"/>
          <w:lang w:val="en-US" w:eastAsia="zh-CN" w:bidi="ar-SA"/>
        </w:rPr>
        <w:t>：中标者须按照卖方要求在规定时间内缴纳标的物总货款的20%作为预付订金，并签订承诺函（详见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_Ref2418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附件6</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w:t>
      </w:r>
    </w:p>
    <w:p w14:paraId="74077C1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买方接到卖方的成交通知后，按照卖方要求在规定时间内缴纳足额货款，并按照卖方实际出库过磅重量多退少补。</w:t>
      </w:r>
    </w:p>
    <w:p w14:paraId="13CDEFC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结算方式：按照卖方过磅重量结合成交单价结算。</w:t>
      </w:r>
    </w:p>
    <w:p w14:paraId="0B02BF8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违约：报价最高的买方反悔或未按要求缴纳预付订金/履约保证金时，此次报价将视为无效报价，并取消此次预中标资格，且6个月内禁止参与日照公司固废销售竞卖项目。同一买方累计出现两次上述行为的，永久禁止参与公司竞卖项目。</w:t>
      </w:r>
    </w:p>
    <w:p w14:paraId="66835E4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买方缴纳预付订金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后，发生下列情况之一的，</w:t>
      </w:r>
      <w:r>
        <w:rPr>
          <w:rFonts w:hint="eastAsia" w:ascii="仿宋_GB2312" w:hAnsi="仿宋" w:eastAsia="仿宋_GB2312" w:cs="宋体"/>
          <w:color w:val="auto"/>
          <w:kern w:val="0"/>
          <w:sz w:val="32"/>
          <w:szCs w:val="32"/>
        </w:rPr>
        <w:t>12个月内禁止</w:t>
      </w:r>
      <w:r>
        <w:rPr>
          <w:rFonts w:hint="eastAsia" w:ascii="仿宋_GB2312" w:hAnsi="仿宋_GB2312" w:eastAsia="仿宋_GB2312" w:cs="仿宋_GB2312"/>
          <w:color w:val="auto"/>
          <w:sz w:val="32"/>
          <w:szCs w:val="32"/>
        </w:rPr>
        <w:t>参与日照公司</w:t>
      </w:r>
      <w:r>
        <w:rPr>
          <w:rFonts w:hint="eastAsia" w:ascii="仿宋_GB2312" w:hAnsi="仿宋_GB2312" w:eastAsia="仿宋_GB2312" w:cs="仿宋_GB2312"/>
          <w:color w:val="auto"/>
          <w:sz w:val="32"/>
          <w:szCs w:val="32"/>
          <w:lang w:val="en-US" w:eastAsia="zh-CN"/>
        </w:rPr>
        <w:t>固废</w:t>
      </w:r>
      <w:r>
        <w:rPr>
          <w:rFonts w:hint="eastAsia" w:ascii="仿宋_GB2312" w:hAnsi="仿宋_GB2312" w:eastAsia="仿宋_GB2312" w:cs="仿宋_GB2312"/>
          <w:color w:val="auto"/>
          <w:sz w:val="32"/>
          <w:szCs w:val="32"/>
        </w:rPr>
        <w:t>销售竞卖项目，并扣除买方缴纳的预付订金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后；买方触犯法律的，</w:t>
      </w:r>
      <w:r>
        <w:rPr>
          <w:rFonts w:hint="eastAsia" w:ascii="仿宋_GB2312" w:hAnsi="仿宋" w:eastAsia="仿宋_GB2312" w:cs="宋体"/>
          <w:color w:val="auto"/>
          <w:kern w:val="0"/>
          <w:sz w:val="32"/>
          <w:szCs w:val="32"/>
        </w:rPr>
        <w:t>将解除合同，永久取消参与日照公司</w:t>
      </w:r>
      <w:r>
        <w:rPr>
          <w:rFonts w:hint="eastAsia" w:ascii="仿宋_GB2312" w:hAnsi="仿宋_GB2312" w:eastAsia="仿宋_GB2312" w:cs="仿宋_GB2312"/>
          <w:color w:val="auto"/>
          <w:sz w:val="32"/>
          <w:szCs w:val="32"/>
        </w:rPr>
        <w:t>竞卖项目的资格，并全额扣除买方缴纳的预付订金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w:t>
      </w:r>
    </w:p>
    <w:p w14:paraId="115A1C8A">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情况：</w:t>
      </w:r>
    </w:p>
    <w:p w14:paraId="2C66906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a.买方因自身原因不签署合同的；</w:t>
      </w:r>
    </w:p>
    <w:p w14:paraId="2879BE5B">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等线" w:eastAsia="仿宋_GB2312" w:cs="华文楷体"/>
          <w:color w:val="auto"/>
          <w:sz w:val="32"/>
          <w:szCs w:val="32"/>
        </w:rPr>
        <w:t>b.未按照卖方要求缴纳货款的；</w:t>
      </w:r>
    </w:p>
    <w:p w14:paraId="7E23632D">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c.未按照公告、承诺函、已签订合同约定条款执行的；</w:t>
      </w:r>
    </w:p>
    <w:p w14:paraId="2535C206">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d.在生产、经营、环境、安全等方面给卖方造成损失或不良影响的。</w:t>
      </w:r>
    </w:p>
    <w:p w14:paraId="4519789E">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 w:eastAsia="仿宋_GB2312" w:cs="宋体"/>
          <w:color w:val="auto"/>
          <w:kern w:val="0"/>
          <w:sz w:val="32"/>
          <w:szCs w:val="32"/>
        </w:rPr>
        <w:t>买方</w:t>
      </w:r>
      <w:r>
        <w:rPr>
          <w:rFonts w:hint="eastAsia" w:ascii="仿宋_GB2312" w:hAnsi="仿宋_GB2312" w:eastAsia="仿宋_GB2312" w:cs="仿宋_GB2312"/>
          <w:color w:val="auto"/>
          <w:sz w:val="32"/>
          <w:szCs w:val="32"/>
        </w:rPr>
        <w:t>发生违约情况时，影响卖方正常生产，为保障生产需求卖方有权终止合同，并重新组织招标。</w:t>
      </w:r>
    </w:p>
    <w:p w14:paraId="3DD384E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SA"/>
        </w:rPr>
        <w:t>为保护买方权益，卖方对买方信息不予公开。对于成交价格，买方可在竞卖结束之日起七个工作日后电话咨询卖方。</w:t>
      </w:r>
    </w:p>
    <w:p w14:paraId="2B782665">
      <w:pPr>
        <w:pStyle w:val="2"/>
        <w:pageBreakBefore w:val="0"/>
        <w:kinsoku/>
        <w:wordWrap/>
        <w:overflowPunct/>
        <w:topLinePunct w:val="0"/>
        <w:autoSpaceDE/>
        <w:autoSpaceDN/>
        <w:bidi w:val="0"/>
        <w:adjustRightInd/>
        <w:snapToGrid/>
        <w:spacing w:line="560" w:lineRule="exact"/>
      </w:pPr>
      <w:r>
        <w:rPr>
          <w:rFonts w:hint="eastAsia"/>
          <w:lang w:val="en-US" w:eastAsia="zh-CN"/>
        </w:rPr>
        <w:t>踏勘现场、</w:t>
      </w:r>
      <w:r>
        <w:rPr>
          <w:rFonts w:hint="eastAsia"/>
        </w:rPr>
        <w:t>公告发布及</w:t>
      </w:r>
      <w:r>
        <w:rPr>
          <w:rFonts w:hint="eastAsia"/>
          <w:lang w:eastAsia="zh-CN"/>
        </w:rPr>
        <w:t>竞价</w:t>
      </w:r>
      <w:r>
        <w:rPr>
          <w:rFonts w:hint="eastAsia"/>
        </w:rPr>
        <w:t>时间</w:t>
      </w:r>
      <w:r>
        <w:rPr>
          <w:rFonts w:hint="eastAsia"/>
          <w:lang w:eastAsia="zh-CN"/>
        </w:rPr>
        <w:t>（</w:t>
      </w:r>
      <w:r>
        <w:rPr>
          <w:rFonts w:hint="eastAsia"/>
          <w:lang w:val="en-US" w:eastAsia="zh-CN"/>
        </w:rPr>
        <w:t>特别重要！</w:t>
      </w:r>
      <w:r>
        <w:rPr>
          <w:rFonts w:hint="eastAsia"/>
          <w:lang w:eastAsia="zh-CN"/>
        </w:rPr>
        <w:t>）</w:t>
      </w:r>
    </w:p>
    <w:p w14:paraId="39125EB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此公告将在山钢集团招标采购与拍卖管理信息平台与欧冶循环宝平台两个平台同步发布。确保在上述两个平台均注册成功。</w:t>
      </w:r>
    </w:p>
    <w:p w14:paraId="1AA846F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踏勘</w:t>
      </w:r>
      <w:r>
        <w:rPr>
          <w:rFonts w:hint="eastAsia" w:ascii="仿宋_GB2312" w:hAnsi="宋体" w:eastAsia="仿宋_GB2312" w:cs="仿宋_GB2312"/>
          <w:kern w:val="0"/>
          <w:sz w:val="32"/>
          <w:szCs w:val="32"/>
          <w:highlight w:val="none"/>
          <w:lang w:val="en-US" w:eastAsia="zh-CN" w:bidi="ar-SA"/>
        </w:rPr>
        <w:t>现场：</w:t>
      </w:r>
      <w:r>
        <w:rPr>
          <w:rFonts w:hint="eastAsia" w:ascii="仿宋_GB2312" w:hAnsi="宋体" w:eastAsia="仿宋_GB2312" w:cs="仿宋_GB2312"/>
          <w:kern w:val="0"/>
          <w:sz w:val="32"/>
          <w:szCs w:val="32"/>
          <w:highlight w:val="yellow"/>
          <w:lang w:val="en-US" w:eastAsia="zh-CN" w:bidi="ar-SA"/>
        </w:rPr>
        <w:t>2025年9月16日14:00，</w:t>
      </w:r>
      <w:r>
        <w:rPr>
          <w:rFonts w:hint="eastAsia" w:ascii="仿宋_GB2312" w:hAnsi="宋体" w:eastAsia="仿宋_GB2312" w:cs="仿宋_GB2312"/>
          <w:kern w:val="0"/>
          <w:sz w:val="32"/>
          <w:szCs w:val="32"/>
          <w:highlight w:val="none"/>
          <w:lang w:val="en-US" w:eastAsia="zh-CN" w:bidi="ar-SA"/>
        </w:rPr>
        <w:t>统一组织现场踏勘。（进厂方法见</w:t>
      </w:r>
      <w:r>
        <w:rPr>
          <w:rFonts w:hint="eastAsia" w:ascii="仿宋_GB2312" w:hAnsi="宋体" w:eastAsia="仿宋_GB2312" w:cs="仿宋_GB2312"/>
          <w:kern w:val="0"/>
          <w:sz w:val="32"/>
          <w:szCs w:val="32"/>
          <w:highlight w:val="none"/>
          <w:lang w:val="en-US" w:eastAsia="zh-CN" w:bidi="ar-SA"/>
        </w:rPr>
        <w:fldChar w:fldCharType="begin"/>
      </w:r>
      <w:r>
        <w:rPr>
          <w:rFonts w:hint="eastAsia" w:ascii="仿宋_GB2312" w:hAnsi="宋体" w:eastAsia="仿宋_GB2312" w:cs="仿宋_GB2312"/>
          <w:kern w:val="0"/>
          <w:sz w:val="32"/>
          <w:szCs w:val="32"/>
          <w:highlight w:val="none"/>
          <w:lang w:val="en-US" w:eastAsia="zh-CN" w:bidi="ar-SA"/>
        </w:rPr>
        <w:instrText xml:space="preserve"> REF _Ref16409 \r \h </w:instrText>
      </w:r>
      <w:r>
        <w:rPr>
          <w:rFonts w:hint="eastAsia" w:ascii="仿宋_GB2312" w:hAnsi="宋体" w:eastAsia="仿宋_GB2312" w:cs="仿宋_GB2312"/>
          <w:kern w:val="0"/>
          <w:sz w:val="32"/>
          <w:szCs w:val="32"/>
          <w:highlight w:val="none"/>
          <w:lang w:val="en-US" w:eastAsia="zh-CN" w:bidi="ar-SA"/>
        </w:rPr>
        <w:fldChar w:fldCharType="separate"/>
      </w:r>
      <w:r>
        <w:rPr>
          <w:rFonts w:hint="eastAsia" w:ascii="仿宋_GB2312" w:hAnsi="宋体" w:eastAsia="仿宋_GB2312" w:cs="仿宋_GB2312"/>
          <w:kern w:val="0"/>
          <w:sz w:val="32"/>
          <w:szCs w:val="32"/>
          <w:highlight w:val="none"/>
          <w:lang w:val="en-US" w:eastAsia="zh-CN" w:bidi="ar-SA"/>
        </w:rPr>
        <w:t>附件2</w:t>
      </w:r>
      <w:r>
        <w:rPr>
          <w:rFonts w:hint="eastAsia" w:ascii="仿宋_GB2312" w:hAnsi="宋体" w:eastAsia="仿宋_GB2312" w:cs="仿宋_GB2312"/>
          <w:kern w:val="0"/>
          <w:sz w:val="32"/>
          <w:szCs w:val="32"/>
          <w:highlight w:val="none"/>
          <w:lang w:val="en-US" w:eastAsia="zh-CN" w:bidi="ar-SA"/>
        </w:rPr>
        <w:fldChar w:fldCharType="end"/>
      </w:r>
      <w:r>
        <w:rPr>
          <w:rFonts w:hint="eastAsia" w:ascii="仿宋_GB2312" w:hAnsi="宋体" w:eastAsia="仿宋_GB2312" w:cs="仿宋_GB2312"/>
          <w:kern w:val="0"/>
          <w:sz w:val="32"/>
          <w:szCs w:val="32"/>
          <w:highlight w:val="none"/>
          <w:lang w:val="en-US" w:eastAsia="zh-CN" w:bidi="ar-SA"/>
        </w:rPr>
        <w:t>，</w:t>
      </w:r>
      <w:r>
        <w:rPr>
          <w:rFonts w:hint="eastAsia" w:ascii="仿宋_GB2312" w:hAnsi="宋体" w:eastAsia="仿宋_GB2312" w:cs="仿宋_GB2312"/>
          <w:kern w:val="0"/>
          <w:sz w:val="32"/>
          <w:szCs w:val="32"/>
          <w:highlight w:val="none"/>
          <w:em w:val="dot"/>
          <w:lang w:val="en-US" w:eastAsia="zh-CN" w:bidi="ar-SA"/>
        </w:rPr>
        <w:t>于前日预约能源环保部（原环境保护部），预约完毕后，第一时间通知销售业务负责人0633-7925565，由其办理审批</w:t>
      </w:r>
      <w:r>
        <w:rPr>
          <w:rFonts w:hint="eastAsia" w:ascii="仿宋_GB2312" w:hAnsi="宋体" w:eastAsia="仿宋_GB2312" w:cs="仿宋_GB2312"/>
          <w:kern w:val="0"/>
          <w:sz w:val="32"/>
          <w:szCs w:val="32"/>
          <w:highlight w:val="none"/>
          <w:lang w:val="en-US" w:eastAsia="zh-CN" w:bidi="ar-SA"/>
        </w:rPr>
        <w:t>）。自备取样工具。特别提醒，后备箱等车内不要带其他无相关物资。</w:t>
      </w:r>
    </w:p>
    <w:p w14:paraId="69C0EC0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资格审查时间：</w:t>
      </w:r>
      <w:r>
        <w:rPr>
          <w:rFonts w:hint="eastAsia" w:ascii="仿宋_GB2312" w:hAnsi="宋体" w:eastAsia="仿宋_GB2312" w:cs="仿宋_GB2312"/>
          <w:kern w:val="0"/>
          <w:sz w:val="32"/>
          <w:szCs w:val="32"/>
          <w:highlight w:val="yellow"/>
          <w:lang w:val="en-US" w:eastAsia="zh-CN"/>
        </w:rPr>
        <w:t>2025年9月17日14:00（以系统网站时间为准）</w:t>
      </w:r>
      <w:r>
        <w:rPr>
          <w:rFonts w:hint="eastAsia" w:ascii="仿宋_GB2312" w:hAnsi="宋体" w:eastAsia="仿宋_GB2312" w:cs="仿宋_GB2312"/>
          <w:kern w:val="0"/>
          <w:sz w:val="32"/>
          <w:szCs w:val="32"/>
          <w:highlight w:val="none"/>
          <w:lang w:val="en-US" w:eastAsia="zh-CN"/>
        </w:rPr>
        <w:t>。请务必于该时间点前，在山钢招标采购平台（网址：</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HYPERLINK "http://bams.shansteelgroup.com/Suppliers/Default.aspx"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http://bams.shansteelgroup.com/Suppliers/Default.aspx</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），注册、上传公告要求文件，</w:t>
      </w:r>
      <w:r>
        <w:rPr>
          <w:rFonts w:hint="eastAsia" w:ascii="仿宋_GB2312" w:hAnsi="宋体" w:eastAsia="仿宋_GB2312" w:cs="仿宋_GB2312"/>
          <w:kern w:val="0"/>
          <w:sz w:val="32"/>
          <w:szCs w:val="32"/>
          <w:highlight w:val="none"/>
          <w:em w:val="dot"/>
          <w:lang w:val="en-US" w:eastAsia="zh-CN"/>
        </w:rPr>
        <w:t>报名、报价</w:t>
      </w:r>
      <w:r>
        <w:rPr>
          <w:rFonts w:hint="eastAsia" w:ascii="仿宋_GB2312" w:hAnsi="宋体" w:eastAsia="仿宋_GB2312" w:cs="仿宋_GB2312"/>
          <w:kern w:val="0"/>
          <w:sz w:val="32"/>
          <w:szCs w:val="32"/>
          <w:highlight w:val="none"/>
          <w:lang w:val="en-US" w:eastAsia="zh-CN"/>
        </w:rPr>
        <w:t>（操作指南见</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REF _Ref149 \r \h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附件4</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）。建议本次各包报价均填写1元/吨。该平台报价不作为最终竞价，只作为资格审查前的象征性报价。该时间截止后，再行更改上传资质视为无效。</w:t>
      </w:r>
    </w:p>
    <w:p w14:paraId="51A50CF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资质文件：营业执照（税务登记证合二为一）、危废许可证、授权委托书、本标相关的生产工艺流程等材料。须加盖公章扫描上传。</w:t>
      </w:r>
    </w:p>
    <w:p w14:paraId="5E0D649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正式</w:t>
      </w:r>
      <w:r>
        <w:rPr>
          <w:rFonts w:hint="eastAsia" w:ascii="仿宋_GB2312" w:hAnsi="宋体" w:eastAsia="仿宋_GB2312" w:cs="仿宋_GB2312"/>
          <w:kern w:val="0"/>
          <w:sz w:val="32"/>
          <w:szCs w:val="32"/>
          <w:highlight w:val="none"/>
          <w:lang w:eastAsia="zh-CN"/>
        </w:rPr>
        <w:t>竞价</w:t>
      </w:r>
      <w:r>
        <w:rPr>
          <w:rFonts w:hint="eastAsia" w:ascii="仿宋_GB2312" w:hAnsi="宋体" w:eastAsia="仿宋_GB2312" w:cs="仿宋_GB2312"/>
          <w:kern w:val="0"/>
          <w:sz w:val="32"/>
          <w:szCs w:val="32"/>
          <w:highlight w:val="none"/>
        </w:rPr>
        <w:t>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开标时间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yellow"/>
          <w:lang w:val="en-US" w:eastAsia="zh-CN"/>
        </w:rPr>
        <w:t>2025年9月18日14:00-15:00（以系统网站时间为准）。</w:t>
      </w:r>
      <w:r>
        <w:rPr>
          <w:rFonts w:hint="eastAsia" w:ascii="仿宋_GB2312" w:hAnsi="宋体" w:eastAsia="仿宋_GB2312" w:cs="仿宋_GB2312"/>
          <w:kern w:val="0"/>
          <w:sz w:val="32"/>
          <w:szCs w:val="32"/>
          <w:highlight w:val="none"/>
          <w:lang w:val="en-US" w:eastAsia="zh-CN"/>
        </w:rPr>
        <w:t>资格预审合格后，及时关注循环宝平台发布的正式销售竞价公告。请于该时间段前，在欧冶循环宝平台（网址：https://www.ouyeel.com/search-ng/exchange/home），完成注册、竞价等。按照循环宝平台规则，</w:t>
      </w:r>
      <w:r>
        <w:rPr>
          <w:rFonts w:hint="eastAsia" w:ascii="仿宋_GB2312" w:hAnsi="宋体" w:eastAsia="仿宋_GB2312" w:cs="仿宋_GB2312"/>
          <w:kern w:val="0"/>
          <w:sz w:val="32"/>
          <w:szCs w:val="32"/>
          <w:highlight w:val="none"/>
          <w:em w:val="dot"/>
          <w:lang w:val="en-US" w:eastAsia="zh-CN"/>
        </w:rPr>
        <w:t>竞价前需要向循环宝平台缴纳投标保证金</w:t>
      </w:r>
      <w:r>
        <w:rPr>
          <w:rFonts w:hint="eastAsia" w:ascii="仿宋_GB2312" w:hAnsi="宋体" w:eastAsia="仿宋_GB2312" w:cs="仿宋_GB2312"/>
          <w:kern w:val="0"/>
          <w:sz w:val="32"/>
          <w:szCs w:val="32"/>
          <w:highlight w:val="none"/>
          <w:lang w:val="en-US" w:eastAsia="zh-CN"/>
        </w:rPr>
        <w:t>，请提前办理。</w:t>
      </w:r>
    </w:p>
    <w:p w14:paraId="01D401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仿宋_GB2312" w:hAnsi="宋体" w:eastAsia="仿宋_GB2312" w:cs="仿宋_GB2312"/>
          <w:kern w:val="0"/>
          <w:sz w:val="32"/>
          <w:szCs w:val="32"/>
          <w:highlight w:val="none"/>
        </w:rPr>
      </w:pPr>
      <w:r>
        <w:rPr>
          <w:rFonts w:ascii="仿宋_GB2312" w:hAnsi="宋体" w:eastAsia="仿宋_GB2312" w:cs="仿宋_GB2312"/>
          <w:kern w:val="0"/>
          <w:sz w:val="32"/>
          <w:szCs w:val="32"/>
          <w:highlight w:val="none"/>
        </w:rPr>
        <w:drawing>
          <wp:inline distT="0" distB="0" distL="114300" distR="114300">
            <wp:extent cx="6644640" cy="1060450"/>
            <wp:effectExtent l="0" t="0" r="10160" b="635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ChangeAspect="1"/>
                    </pic:cNvPicPr>
                  </pic:nvPicPr>
                  <pic:blipFill>
                    <a:blip r:embed="rId11"/>
                    <a:stretch>
                      <a:fillRect/>
                    </a:stretch>
                  </pic:blipFill>
                  <pic:spPr>
                    <a:xfrm>
                      <a:off x="0" y="0"/>
                      <a:ext cx="6644640" cy="1060450"/>
                    </a:xfrm>
                    <a:prstGeom prst="rect">
                      <a:avLst/>
                    </a:prstGeom>
                    <a:noFill/>
                    <a:ln>
                      <a:noFill/>
                    </a:ln>
                  </pic:spPr>
                </pic:pic>
              </a:graphicData>
            </a:graphic>
          </wp:inline>
        </w:drawing>
      </w:r>
    </w:p>
    <w:p w14:paraId="3DFC1014">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循环宝竞价流程</w:t>
      </w:r>
    </w:p>
    <w:p w14:paraId="4CFAF19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只有在山钢招标采购平台网上正确完成填报价格，才具备资质审核前提。只有资质审核通过，才具备在欧冶循环宝平台竞价的前提，请务必完成上述两个平台的相应工作。</w:t>
      </w:r>
    </w:p>
    <w:p w14:paraId="02E8374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资格审查后，请关注循环宝正式公告的发布。</w:t>
      </w:r>
    </w:p>
    <w:p w14:paraId="3AE64126">
      <w:pPr>
        <w:pStyle w:val="2"/>
        <w:pageBreakBefore w:val="0"/>
        <w:kinsoku/>
        <w:wordWrap/>
        <w:overflowPunct/>
        <w:topLinePunct w:val="0"/>
        <w:autoSpaceDE/>
        <w:autoSpaceDN/>
        <w:bidi w:val="0"/>
        <w:adjustRightInd/>
        <w:snapToGrid/>
        <w:spacing w:line="560" w:lineRule="exact"/>
        <w:rPr>
          <w:rFonts w:ascii="黑体" w:hAnsi="黑体" w:eastAsia="黑体" w:cs="黑体"/>
          <w:b/>
          <w:bCs/>
          <w:kern w:val="0"/>
          <w:sz w:val="32"/>
          <w:szCs w:val="32"/>
        </w:rPr>
      </w:pPr>
      <w:r>
        <w:rPr>
          <w:rFonts w:hint="eastAsia" w:ascii="黑体" w:hAnsi="黑体" w:eastAsia="黑体" w:cs="黑体"/>
          <w:b w:val="0"/>
          <w:bCs w:val="0"/>
          <w:kern w:val="0"/>
          <w:sz w:val="32"/>
          <w:szCs w:val="32"/>
        </w:rPr>
        <w:t>销售主体联系人及联系电话</w:t>
      </w:r>
    </w:p>
    <w:p w14:paraId="0662C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zh-CN"/>
        </w:rPr>
        <w:t>魏</w:t>
      </w:r>
      <w:r>
        <w:rPr>
          <w:rFonts w:hint="eastAsia" w:ascii="仿宋_GB2312" w:hAnsi="宋体" w:eastAsia="仿宋_GB2312" w:cs="仿宋_GB2312"/>
          <w:color w:val="auto"/>
          <w:kern w:val="0"/>
          <w:sz w:val="32"/>
          <w:szCs w:val="32"/>
        </w:rPr>
        <w:t>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28424395">
      <w:pPr>
        <w:pStyle w:val="2"/>
        <w:pageBreakBefore w:val="0"/>
        <w:kinsoku/>
        <w:wordWrap/>
        <w:overflowPunct/>
        <w:topLinePunct w:val="0"/>
        <w:autoSpaceDE/>
        <w:autoSpaceDN/>
        <w:bidi w:val="0"/>
        <w:adjustRightInd/>
        <w:snapToGrid/>
        <w:spacing w:line="560" w:lineRule="exact"/>
      </w:pPr>
      <w:r>
        <w:rPr>
          <w:rFonts w:hint="eastAsia"/>
        </w:rPr>
        <w:t>本次公告发布范围</w:t>
      </w:r>
    </w:p>
    <w:p w14:paraId="7EB8859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宋体" w:eastAsia="仿宋_GB2312" w:cs="仿宋_GB2312"/>
          <w:color w:val="000000"/>
          <w:spacing w:val="-6"/>
          <w:kern w:val="0"/>
          <w:sz w:val="32"/>
          <w:szCs w:val="32"/>
        </w:rPr>
      </w:pPr>
      <w:r>
        <w:rPr>
          <w:rFonts w:hint="eastAsia" w:ascii="仿宋_GB2312" w:hAnsi="宋体" w:eastAsia="仿宋_GB2312" w:cs="仿宋_GB2312"/>
          <w:spacing w:val="-6"/>
          <w:kern w:val="0"/>
          <w:sz w:val="32"/>
          <w:szCs w:val="32"/>
          <w:lang w:val="en-US" w:eastAsia="zh-CN"/>
        </w:rPr>
        <w:t>循环宝</w:t>
      </w:r>
      <w:r>
        <w:rPr>
          <w:rFonts w:hint="eastAsia" w:ascii="仿宋_GB2312" w:hAnsi="宋体" w:eastAsia="仿宋_GB2312" w:cs="仿宋_GB2312"/>
          <w:color w:val="000000"/>
          <w:spacing w:val="-6"/>
          <w:kern w:val="0"/>
          <w:sz w:val="32"/>
          <w:szCs w:val="32"/>
        </w:rPr>
        <w:fldChar w:fldCharType="begin"/>
      </w:r>
      <w:r>
        <w:rPr>
          <w:rFonts w:hint="eastAsia" w:ascii="仿宋_GB2312" w:hAnsi="宋体" w:eastAsia="仿宋_GB2312" w:cs="仿宋_GB2312"/>
          <w:color w:val="000000"/>
          <w:spacing w:val="-6"/>
          <w:kern w:val="0"/>
          <w:sz w:val="32"/>
          <w:szCs w:val="32"/>
        </w:rPr>
        <w:instrText xml:space="preserve"> HYPERLINK "https://www.ouyeel.com/search-ng/exchange/home" </w:instrText>
      </w:r>
      <w:r>
        <w:rPr>
          <w:rFonts w:hint="eastAsia" w:ascii="仿宋_GB2312" w:hAnsi="宋体" w:eastAsia="仿宋_GB2312" w:cs="仿宋_GB2312"/>
          <w:color w:val="000000"/>
          <w:spacing w:val="-6"/>
          <w:kern w:val="0"/>
          <w:sz w:val="32"/>
          <w:szCs w:val="32"/>
        </w:rPr>
        <w:fldChar w:fldCharType="separate"/>
      </w:r>
      <w:r>
        <w:rPr>
          <w:rStyle w:val="21"/>
          <w:rFonts w:hint="eastAsia" w:ascii="仿宋_GB2312" w:hAnsi="宋体" w:eastAsia="仿宋_GB2312" w:cs="仿宋_GB2312"/>
          <w:spacing w:val="-6"/>
          <w:kern w:val="0"/>
          <w:sz w:val="32"/>
          <w:szCs w:val="32"/>
        </w:rPr>
        <w:t>https://www.ouyeel.com/search-ng/exchange/home</w:t>
      </w:r>
      <w:r>
        <w:rPr>
          <w:rFonts w:hint="eastAsia" w:ascii="仿宋_GB2312" w:hAnsi="宋体" w:eastAsia="仿宋_GB2312" w:cs="仿宋_GB2312"/>
          <w:color w:val="000000"/>
          <w:spacing w:val="-6"/>
          <w:kern w:val="0"/>
          <w:sz w:val="32"/>
          <w:szCs w:val="32"/>
        </w:rPr>
        <w:fldChar w:fldCharType="end"/>
      </w:r>
    </w:p>
    <w:p w14:paraId="3415F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24"/>
          <w:szCs w:val="24"/>
          <w:highlight w:val="none"/>
          <w:lang w:val="en-US" w:eastAsia="zh-CN"/>
        </w:rPr>
      </w:pPr>
      <w:r>
        <w:rPr>
          <w:rFonts w:hint="eastAsia" w:ascii="仿宋_GB2312" w:hAnsi="宋体" w:eastAsia="仿宋_GB2312" w:cs="仿宋_GB2312"/>
          <w:kern w:val="0"/>
          <w:sz w:val="32"/>
          <w:szCs w:val="32"/>
          <w:highlight w:val="none"/>
          <w:lang w:val="en-US" w:eastAsia="zh-CN"/>
        </w:rPr>
        <w:t>山钢招标采购平台</w:t>
      </w:r>
      <w:r>
        <w:rPr>
          <w:rFonts w:hint="eastAsia" w:ascii="仿宋_GB2312" w:hAnsi="宋体" w:eastAsia="仿宋_GB2312" w:cs="仿宋_GB2312"/>
          <w:kern w:val="0"/>
          <w:sz w:val="24"/>
          <w:szCs w:val="24"/>
          <w:highlight w:val="none"/>
          <w:lang w:val="en-US" w:eastAsia="zh-CN"/>
        </w:rPr>
        <w:fldChar w:fldCharType="begin"/>
      </w:r>
      <w:r>
        <w:rPr>
          <w:rFonts w:hint="eastAsia" w:ascii="仿宋_GB2312" w:hAnsi="宋体" w:eastAsia="仿宋_GB2312" w:cs="仿宋_GB2312"/>
          <w:kern w:val="0"/>
          <w:sz w:val="24"/>
          <w:szCs w:val="24"/>
          <w:highlight w:val="none"/>
          <w:lang w:val="en-US" w:eastAsia="zh-CN"/>
        </w:rPr>
        <w:instrText xml:space="preserve"> HYPERLINK "http://bams.shansteelgroup.com/Suppliers/Default.aspx" </w:instrText>
      </w:r>
      <w:r>
        <w:rPr>
          <w:rFonts w:hint="eastAsia" w:ascii="仿宋_GB2312" w:hAnsi="宋体" w:eastAsia="仿宋_GB2312" w:cs="仿宋_GB2312"/>
          <w:kern w:val="0"/>
          <w:sz w:val="24"/>
          <w:szCs w:val="24"/>
          <w:highlight w:val="none"/>
          <w:lang w:val="en-US" w:eastAsia="zh-CN"/>
        </w:rPr>
        <w:fldChar w:fldCharType="separate"/>
      </w:r>
      <w:r>
        <w:rPr>
          <w:rFonts w:hint="eastAsia" w:ascii="仿宋_GB2312" w:hAnsi="宋体" w:eastAsia="仿宋_GB2312" w:cs="仿宋_GB2312"/>
          <w:kern w:val="0"/>
          <w:sz w:val="24"/>
          <w:szCs w:val="24"/>
          <w:highlight w:val="none"/>
          <w:lang w:val="en-US" w:eastAsia="zh-CN"/>
        </w:rPr>
        <w:t>http://bams.shansteelgroup.com/Suppliers/Default.aspx</w:t>
      </w:r>
      <w:r>
        <w:rPr>
          <w:rFonts w:hint="eastAsia" w:ascii="仿宋_GB2312" w:hAnsi="宋体" w:eastAsia="仿宋_GB2312" w:cs="仿宋_GB2312"/>
          <w:kern w:val="0"/>
          <w:sz w:val="24"/>
          <w:szCs w:val="24"/>
          <w:highlight w:val="none"/>
          <w:lang w:val="en-US" w:eastAsia="zh-CN"/>
        </w:rPr>
        <w:fldChar w:fldCharType="end"/>
      </w:r>
    </w:p>
    <w:p w14:paraId="3B1FFA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24"/>
          <w:szCs w:val="24"/>
          <w:highlight w:val="none"/>
          <w:lang w:val="en-US" w:eastAsia="zh-CN"/>
        </w:rPr>
      </w:pPr>
    </w:p>
    <w:p w14:paraId="00ABF587">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rPr>
      </w:pPr>
    </w:p>
    <w:p w14:paraId="77265EFA">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山钢集团日照有限公司</w:t>
      </w:r>
    </w:p>
    <w:p w14:paraId="26E11AF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eastAsia="zh-CN"/>
        </w:rPr>
        <w:t>2025</w:t>
      </w:r>
      <w:r>
        <w:rPr>
          <w:rFonts w:hint="eastAsia" w:ascii="仿宋_GB2312" w:hAnsi="宋体" w:eastAsia="仿宋_GB2312" w:cs="仿宋_GB2312"/>
          <w:kern w:val="0"/>
          <w:sz w:val="32"/>
          <w:szCs w:val="32"/>
          <w:highlight w:val="none"/>
        </w:rPr>
        <w:t>年</w:t>
      </w:r>
      <w:r>
        <w:rPr>
          <w:rFonts w:hint="eastAsia" w:ascii="仿宋_GB2312" w:hAnsi="宋体" w:eastAsia="仿宋_GB2312" w:cs="仿宋_GB2312"/>
          <w:kern w:val="0"/>
          <w:sz w:val="32"/>
          <w:szCs w:val="32"/>
          <w:highlight w:val="none"/>
          <w:lang w:val="en-US" w:eastAsia="zh-CN"/>
        </w:rPr>
        <w:t>9</w:t>
      </w:r>
      <w:r>
        <w:rPr>
          <w:rFonts w:hint="eastAsia" w:ascii="仿宋_GB2312" w:hAnsi="宋体" w:eastAsia="仿宋_GB2312" w:cs="仿宋_GB2312"/>
          <w:kern w:val="0"/>
          <w:sz w:val="32"/>
          <w:szCs w:val="32"/>
          <w:highlight w:val="none"/>
        </w:rPr>
        <w:t>月</w:t>
      </w:r>
      <w:r>
        <w:rPr>
          <w:rFonts w:hint="eastAsia" w:ascii="仿宋_GB2312" w:hAnsi="宋体" w:eastAsia="仿宋_GB2312" w:cs="仿宋_GB2312"/>
          <w:kern w:val="0"/>
          <w:sz w:val="32"/>
          <w:szCs w:val="32"/>
          <w:highlight w:val="none"/>
          <w:lang w:val="en-US" w:eastAsia="zh-CN"/>
        </w:rPr>
        <w:t>12</w:t>
      </w:r>
      <w:r>
        <w:rPr>
          <w:rFonts w:hint="eastAsia" w:ascii="仿宋_GB2312" w:hAnsi="宋体" w:eastAsia="仿宋_GB2312" w:cs="仿宋_GB2312"/>
          <w:kern w:val="0"/>
          <w:sz w:val="32"/>
          <w:szCs w:val="32"/>
          <w:highlight w:val="none"/>
        </w:rPr>
        <w:t>日</w:t>
      </w:r>
    </w:p>
    <w:p w14:paraId="054BC70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pPr>
    </w:p>
    <w:p w14:paraId="1E961593">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sectPr>
          <w:headerReference r:id="rId3" w:type="default"/>
          <w:footerReference r:id="rId4" w:type="default"/>
          <w:type w:val="continuous"/>
          <w:pgSz w:w="11906" w:h="16838"/>
          <w:pgMar w:top="720" w:right="266" w:bottom="720" w:left="720" w:header="851" w:footer="992" w:gutter="0"/>
          <w:pgNumType w:fmt="decimal"/>
          <w:cols w:space="720" w:num="1"/>
          <w:docGrid w:type="lines" w:linePitch="312" w:charSpace="0"/>
        </w:sectPr>
      </w:pPr>
    </w:p>
    <w:p w14:paraId="1021DEC2">
      <w:pPr>
        <w:pStyle w:val="28"/>
        <w:bidi w:val="0"/>
        <w:ind w:left="0" w:leftChars="0" w:firstLine="420" w:firstLineChars="0"/>
        <w:rPr>
          <w:rFonts w:hint="default"/>
          <w:lang w:val="en-US" w:eastAsia="zh-CN"/>
        </w:rPr>
      </w:pPr>
      <w:bookmarkStart w:id="1" w:name="_Ref12228"/>
      <w:r>
        <w:rPr>
          <w:rFonts w:hint="default"/>
          <w:lang w:val="en-US" w:eastAsia="zh-CN"/>
        </w:rPr>
        <w:t>各</w:t>
      </w:r>
      <w:r>
        <w:rPr>
          <w:rFonts w:hint="eastAsia"/>
          <w:lang w:val="en-US" w:eastAsia="zh-CN"/>
        </w:rPr>
        <w:t>账户信息</w:t>
      </w:r>
    </w:p>
    <w:p w14:paraId="283DE28E">
      <w:pPr>
        <w:rPr>
          <w:rFonts w:hint="default"/>
          <w:lang w:val="en-US" w:eastAsia="zh-CN"/>
        </w:rPr>
      </w:pPr>
    </w:p>
    <w:p w14:paraId="551C5A5D">
      <w:pPr>
        <w:pStyle w:val="3"/>
        <w:bidi w:val="0"/>
        <w:rPr>
          <w:rFonts w:hint="eastAsia"/>
          <w:lang w:val="en-US" w:eastAsia="zh-CN"/>
        </w:rPr>
      </w:pPr>
      <w:r>
        <w:rPr>
          <w:rFonts w:hint="eastAsia"/>
          <w:lang w:val="en-US" w:eastAsia="zh-CN"/>
        </w:rPr>
        <w:t>公开增价（买方付款）模式下的预付订金及货款账户信息：</w:t>
      </w:r>
    </w:p>
    <w:p w14:paraId="0ECC9E3E">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账户名称：山东钢铁集团日照有限公司</w:t>
      </w:r>
    </w:p>
    <w:p w14:paraId="02176F45">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w:t>
      </w:r>
      <w:r>
        <w:rPr>
          <w:rFonts w:hint="default" w:asciiTheme="minorEastAsia" w:hAnsiTheme="minorEastAsia" w:eastAsiaTheme="minorEastAsia" w:cstheme="minorEastAsia"/>
          <w:kern w:val="0"/>
          <w:sz w:val="28"/>
          <w:szCs w:val="28"/>
          <w:lang w:val="en-US" w:eastAsia="zh-CN" w:bidi="ar-SA"/>
        </w:rPr>
        <w:t>中国农业银行日照岚山支行</w:t>
      </w:r>
    </w:p>
    <w:p w14:paraId="697D58E8">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账号：</w:t>
      </w:r>
      <w:r>
        <w:rPr>
          <w:rFonts w:hint="default" w:asciiTheme="minorEastAsia" w:hAnsiTheme="minorEastAsia" w:eastAsiaTheme="minorEastAsia" w:cstheme="minorEastAsia"/>
          <w:kern w:val="0"/>
          <w:sz w:val="28"/>
          <w:szCs w:val="28"/>
          <w:lang w:val="en-US" w:eastAsia="zh-CN" w:bidi="ar-SA"/>
        </w:rPr>
        <w:t>15641101040014582</w:t>
      </w:r>
    </w:p>
    <w:p w14:paraId="0B339CB9">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开户行编号：</w:t>
      </w:r>
      <w:r>
        <w:rPr>
          <w:rFonts w:hint="default" w:asciiTheme="minorEastAsia" w:hAnsiTheme="minorEastAsia" w:eastAsiaTheme="minorEastAsia" w:cstheme="minorEastAsia"/>
          <w:kern w:val="0"/>
          <w:sz w:val="28"/>
          <w:szCs w:val="28"/>
          <w:lang w:val="en-US" w:eastAsia="zh-CN" w:bidi="ar-SA"/>
        </w:rPr>
        <w:t>103473264114</w:t>
      </w:r>
    </w:p>
    <w:p w14:paraId="2ABE7AE3">
      <w:pPr>
        <w:pStyle w:val="3"/>
        <w:bidi w:val="0"/>
        <w:ind w:left="0" w:firstLine="0"/>
        <w:rPr>
          <w:rFonts w:hint="eastAsia" w:asciiTheme="minorEastAsia" w:hAnsiTheme="minorEastAsia" w:eastAsiaTheme="minorEastAsia" w:cstheme="minorEastAsia"/>
          <w:color w:val="000000"/>
          <w:kern w:val="0"/>
          <w:sz w:val="28"/>
          <w:szCs w:val="28"/>
          <w:lang w:val="en-US" w:eastAsia="zh-CN" w:bidi="ar-SA"/>
        </w:rPr>
      </w:pPr>
      <w:r>
        <w:rPr>
          <w:rFonts w:hint="eastAsia"/>
          <w:lang w:val="en-US" w:eastAsia="zh-CN"/>
        </w:rPr>
        <w:t>反向竞价（卖方付款）模式下的履约保障金及账户信息：</w:t>
      </w:r>
    </w:p>
    <w:p w14:paraId="751E68DF">
      <w:pPr>
        <w:pStyle w:val="4"/>
        <w:bidi w:val="0"/>
        <w:rPr>
          <w:rFonts w:hint="eastAsia"/>
          <w:lang w:val="en-US" w:eastAsia="zh-CN"/>
        </w:rPr>
      </w:pPr>
      <w:r>
        <w:rPr>
          <w:rFonts w:hint="eastAsia"/>
          <w:lang w:val="en-US" w:eastAsia="zh-CN"/>
        </w:rPr>
        <w:t>履约保证金账户：</w:t>
      </w:r>
    </w:p>
    <w:p w14:paraId="284442B5">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开户银行：中国农业银行日照分行</w:t>
      </w:r>
    </w:p>
    <w:p w14:paraId="2966F2D1">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收款人：山东钢铁集团日照有限公司</w:t>
      </w:r>
    </w:p>
    <w:p w14:paraId="7DF446AE">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账号：15651001040040990</w:t>
      </w:r>
    </w:p>
    <w:p w14:paraId="619201E4">
      <w:pPr>
        <w:pStyle w:val="4"/>
        <w:bidi w:val="0"/>
        <w:rPr>
          <w:rFonts w:hint="eastAsia"/>
          <w:lang w:val="en-US" w:eastAsia="zh-CN"/>
        </w:rPr>
      </w:pPr>
      <w:r>
        <w:rPr>
          <w:rFonts w:hint="eastAsia"/>
          <w:lang w:val="en-US" w:eastAsia="zh-CN"/>
        </w:rPr>
        <w:t>开票信息：</w:t>
      </w:r>
    </w:p>
    <w:p w14:paraId="3796F498">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企业名称：山东钢铁集团日照有限公司</w:t>
      </w:r>
    </w:p>
    <w:p w14:paraId="0C0A6D2F">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纳税人识别号：91370000685900369J</w:t>
      </w:r>
    </w:p>
    <w:p w14:paraId="24CA11E7">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地址、电话：山东省日照市东港区临钢路1号；0633-7920226</w:t>
      </w:r>
    </w:p>
    <w:p w14:paraId="452B1C8A">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开户行及账号：中国建设银行股份有限公司日照分行营业部</w:t>
      </w:r>
    </w:p>
    <w:p w14:paraId="100EA1ED">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账号：37001718808059677777</w:t>
      </w:r>
    </w:p>
    <w:p w14:paraId="0D658C5A">
      <w:pPr>
        <w:keepNext w:val="0"/>
        <w:keepLines w:val="0"/>
        <w:pageBreakBefore w:val="0"/>
        <w:widowControl w:val="0"/>
        <w:kinsoku/>
        <w:wordWrap/>
        <w:overflowPunct/>
        <w:topLinePunct w:val="0"/>
        <w:autoSpaceDE/>
        <w:autoSpaceDN/>
        <w:bidi w:val="0"/>
        <w:adjustRightInd/>
        <w:spacing w:line="520" w:lineRule="exact"/>
        <w:textAlignment w:val="auto"/>
        <w:rPr>
          <w:rFonts w:hint="default" w:ascii="仿宋_GB2312" w:hAnsi="宋体" w:eastAsia="仿宋_GB2312" w:cs="仿宋_GB2312"/>
          <w:color w:val="auto"/>
          <w:kern w:val="0"/>
          <w:sz w:val="32"/>
          <w:szCs w:val="32"/>
          <w:lang w:val="en-US" w:eastAsia="zh-CN"/>
        </w:rPr>
      </w:pPr>
    </w:p>
    <w:p w14:paraId="13E9584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pPr>
    </w:p>
    <w:p w14:paraId="5A00F19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sectPr>
          <w:headerReference r:id="rId5" w:type="default"/>
          <w:pgSz w:w="11906" w:h="16838"/>
          <w:pgMar w:top="720" w:right="720" w:bottom="720" w:left="720" w:header="851" w:footer="992" w:gutter="0"/>
          <w:pgNumType w:fmt="decimal"/>
          <w:cols w:space="720" w:num="1"/>
          <w:docGrid w:type="lines" w:linePitch="312" w:charSpace="0"/>
        </w:sectPr>
      </w:pPr>
    </w:p>
    <w:p w14:paraId="607083F8">
      <w:pPr>
        <w:pStyle w:val="28"/>
        <w:bidi w:val="0"/>
        <w:ind w:left="0" w:leftChars="0" w:firstLine="420" w:firstLineChars="0"/>
        <w:rPr>
          <w:rFonts w:hint="default"/>
          <w:lang w:val="en-US" w:eastAsia="zh-CN"/>
        </w:rPr>
      </w:pPr>
      <w:bookmarkStart w:id="2" w:name="_Ref16409"/>
      <w:r>
        <w:rPr>
          <w:rFonts w:hint="eastAsia"/>
          <w:lang w:val="en-US" w:eastAsia="zh-CN"/>
        </w:rPr>
        <w:t>预约进厂方法及地点</w:t>
      </w:r>
      <w:bookmarkEnd w:id="1"/>
      <w:bookmarkEnd w:id="2"/>
    </w:p>
    <w:p w14:paraId="0A8789E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r>
        <w:rPr>
          <w:rFonts w:hint="eastAsia" w:ascii="Arial" w:hAnsi="Arial" w:eastAsia="宋体" w:cs="宋体"/>
          <w:sz w:val="28"/>
          <w:szCs w:val="22"/>
          <w:lang w:val="en-US" w:eastAsia="zh-CN" w:bidi="ar-SA"/>
        </w:rPr>
        <w:t>约小车（就是您的小客车，想进厂办公）</w:t>
      </w:r>
    </w:p>
    <w:p w14:paraId="577FD759">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在手机微信搜索，“山钢日照公司进出厂”进厂小程序，按部就班填写，接访单位选填“</w:t>
      </w:r>
      <w:r>
        <w:rPr>
          <w:rFonts w:hint="eastAsia" w:ascii="宋体" w:hAnsi="宋体" w:eastAsia="宋体" w:cs="宋体"/>
          <w:sz w:val="28"/>
          <w:szCs w:val="22"/>
          <w:em w:val="dot"/>
          <w:lang w:val="en-US" w:eastAsia="zh-CN" w:bidi="ar-SA"/>
        </w:rPr>
        <w:t>能源环保部（原环境保护部）</w:t>
      </w:r>
      <w:r>
        <w:rPr>
          <w:rFonts w:hint="eastAsia" w:ascii="宋体" w:hAnsi="宋体" w:eastAsia="宋体" w:cs="宋体"/>
          <w:sz w:val="28"/>
          <w:szCs w:val="22"/>
          <w:lang w:val="en-US" w:eastAsia="zh-CN" w:bidi="ar-SA"/>
        </w:rPr>
        <w:t>”、进门选填“</w:t>
      </w:r>
      <w:r>
        <w:rPr>
          <w:rFonts w:hint="eastAsia" w:ascii="宋体" w:hAnsi="宋体" w:eastAsia="宋体" w:cs="宋体"/>
          <w:sz w:val="28"/>
          <w:szCs w:val="22"/>
          <w:em w:val="dot"/>
          <w:lang w:val="en-US" w:eastAsia="zh-CN" w:bidi="ar-SA"/>
        </w:rPr>
        <w:t>1号门</w:t>
      </w:r>
      <w:r>
        <w:rPr>
          <w:rFonts w:hint="eastAsia" w:ascii="宋体" w:hAnsi="宋体" w:eastAsia="宋体" w:cs="宋体"/>
          <w:sz w:val="28"/>
          <w:szCs w:val="22"/>
          <w:lang w:val="en-US" w:eastAsia="zh-CN" w:bidi="ar-SA"/>
        </w:rPr>
        <w:t>”，提交。图片为行驶证图片，不是您的车照片。上传照片一定要清楚、周正、文件大小</w:t>
      </w:r>
      <w:r>
        <w:rPr>
          <w:rFonts w:hint="eastAsia" w:ascii="宋体" w:hAnsi="宋体" w:eastAsia="宋体" w:cs="宋体"/>
          <w:sz w:val="28"/>
          <w:szCs w:val="22"/>
          <w:em w:val="dot"/>
          <w:lang w:val="en-US" w:eastAsia="zh-CN" w:bidi="ar-SA"/>
        </w:rPr>
        <w:t>务必小于1M</w:t>
      </w:r>
      <w:r>
        <w:rPr>
          <w:rFonts w:hint="eastAsia" w:ascii="宋体" w:hAnsi="宋体" w:eastAsia="宋体" w:cs="宋体"/>
          <w:sz w:val="28"/>
          <w:szCs w:val="22"/>
          <w:lang w:val="en-US" w:eastAsia="zh-CN" w:bidi="ar-SA"/>
        </w:rPr>
        <w:t>，以便顺利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（提交不上的原因基本只有一个，就是图片太大！）</w:t>
      </w:r>
    </w:p>
    <w:p w14:paraId="6B78A8E3">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现在手机普遍拍摄像素高，可以采用</w:t>
      </w:r>
      <w:r>
        <w:rPr>
          <w:rFonts w:hint="eastAsia" w:ascii="宋体" w:hAnsi="宋体" w:eastAsia="宋体" w:cs="宋体"/>
          <w:sz w:val="28"/>
          <w:szCs w:val="22"/>
          <w:em w:val="dot"/>
          <w:lang w:val="en-US" w:eastAsia="zh-CN" w:bidi="ar-SA"/>
        </w:rPr>
        <w:t>拍摄后再手机截图</w:t>
      </w:r>
      <w:r>
        <w:rPr>
          <w:rFonts w:hint="eastAsia" w:ascii="宋体" w:hAnsi="宋体" w:eastAsia="宋体" w:cs="宋体"/>
          <w:sz w:val="28"/>
          <w:szCs w:val="22"/>
          <w:lang w:val="en-US" w:eastAsia="zh-CN" w:bidi="ar-SA"/>
        </w:rPr>
        <w:t>的方式，快递降低文件大小。</w:t>
      </w:r>
    </w:p>
    <w:p w14:paraId="6047D3B2">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按下面说法，通知业务负责人，请其审批；</w:t>
      </w:r>
      <w:r>
        <w:rPr>
          <w:rFonts w:hint="eastAsia" w:ascii="宋体" w:hAnsi="宋体" w:cs="宋体"/>
          <w:sz w:val="28"/>
          <w:szCs w:val="22"/>
          <w:lang w:val="en-US" w:eastAsia="zh-CN" w:bidi="ar-SA"/>
        </w:rPr>
        <w:t>预约</w:t>
      </w:r>
      <w:r>
        <w:rPr>
          <w:rFonts w:hint="eastAsia" w:ascii="宋体" w:hAnsi="宋体" w:eastAsia="宋体" w:cs="宋体"/>
          <w:sz w:val="28"/>
          <w:szCs w:val="22"/>
          <w:lang w:val="en-US" w:eastAsia="zh-CN" w:bidi="ar-SA"/>
        </w:rPr>
        <w:t>手机</w:t>
      </w:r>
      <w:r>
        <w:rPr>
          <w:rFonts w:hint="eastAsia" w:ascii="宋体" w:hAnsi="宋体" w:cs="宋体"/>
          <w:sz w:val="28"/>
          <w:szCs w:val="22"/>
          <w:lang w:val="en-US" w:eastAsia="zh-CN" w:bidi="ar-SA"/>
        </w:rPr>
        <w:t>会显示</w:t>
      </w:r>
      <w:r>
        <w:rPr>
          <w:rFonts w:hint="eastAsia" w:ascii="宋体" w:hAnsi="宋体" w:eastAsia="宋体" w:cs="宋体"/>
          <w:sz w:val="28"/>
          <w:szCs w:val="22"/>
          <w:lang w:val="en-US" w:eastAsia="zh-CN" w:bidi="ar-SA"/>
        </w:rPr>
        <w:t>进厂办理进度，</w:t>
      </w:r>
      <w:r>
        <w:rPr>
          <w:rFonts w:hint="eastAsia" w:ascii="宋体" w:hAnsi="宋体" w:cs="宋体"/>
          <w:sz w:val="28"/>
          <w:szCs w:val="22"/>
          <w:lang w:val="en-US" w:eastAsia="zh-CN" w:bidi="ar-SA"/>
        </w:rPr>
        <w:t>请留意。</w:t>
      </w:r>
    </w:p>
    <w:p w14:paraId="4EE53C2F">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Arial" w:hAnsi="Arial" w:eastAsia="宋体" w:cs="宋体"/>
          <w:sz w:val="28"/>
          <w:szCs w:val="22"/>
          <w:lang w:val="en-US" w:eastAsia="zh-CN" w:bidi="ar-SA"/>
        </w:rPr>
      </w:pPr>
      <w:bookmarkStart w:id="3" w:name="_Toc11074"/>
      <w:r>
        <w:rPr>
          <w:rFonts w:hint="eastAsia" w:ascii="Arial" w:hAnsi="Arial" w:eastAsia="宋体" w:cs="宋体"/>
          <w:sz w:val="28"/>
          <w:szCs w:val="22"/>
          <w:lang w:val="en-US" w:eastAsia="zh-CN" w:bidi="ar-SA"/>
        </w:rPr>
        <w:t>约人员（就是您的工作人员或是陪同人员，想进厂办公）</w:t>
      </w:r>
      <w:bookmarkEnd w:id="3"/>
    </w:p>
    <w:p w14:paraId="7F58BF14">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kern w:val="0"/>
          <w:sz w:val="28"/>
          <w:szCs w:val="22"/>
          <w:lang w:val="en-US" w:eastAsia="zh-CN"/>
        </w:rPr>
      </w:pPr>
      <w:r>
        <w:rPr>
          <w:rFonts w:hint="default" w:ascii="宋体" w:hAnsi="宋体" w:eastAsia="宋体" w:cs="宋体"/>
          <w:sz w:val="28"/>
          <w:szCs w:val="22"/>
          <w:lang w:val="en-US" w:eastAsia="zh-CN" w:bidi="ar-SA"/>
        </w:rPr>
        <w:t>在手机微信搜索，“山钢日照公司进出厂”进厂小程序，按部就班填写</w:t>
      </w:r>
      <w:r>
        <w:rPr>
          <w:rFonts w:hint="eastAsia" w:ascii="宋体" w:hAnsi="宋体" w:eastAsia="宋体" w:cs="宋体"/>
          <w:sz w:val="28"/>
          <w:szCs w:val="22"/>
          <w:lang w:val="en-US" w:eastAsia="zh-CN" w:bidi="ar-SA"/>
        </w:rPr>
        <w:t>，</w:t>
      </w:r>
      <w:r>
        <w:rPr>
          <w:rFonts w:hint="default" w:ascii="宋体" w:hAnsi="宋体" w:eastAsia="宋体" w:cs="宋体"/>
          <w:sz w:val="28"/>
          <w:szCs w:val="22"/>
          <w:lang w:val="en-US" w:eastAsia="zh-CN" w:bidi="ar-SA"/>
        </w:rPr>
        <w:t>接访单位选填“</w:t>
      </w:r>
      <w:r>
        <w:rPr>
          <w:rFonts w:hint="eastAsia" w:ascii="宋体" w:hAnsi="宋体" w:eastAsia="宋体" w:cs="宋体"/>
          <w:sz w:val="28"/>
          <w:szCs w:val="22"/>
          <w:em w:val="dot"/>
          <w:lang w:val="en-US" w:eastAsia="zh-CN" w:bidi="ar-SA"/>
        </w:rPr>
        <w:t>能源环保部（原环境保护部）</w:t>
      </w:r>
      <w:r>
        <w:rPr>
          <w:rFonts w:hint="default" w:ascii="宋体" w:hAnsi="宋体" w:eastAsia="宋体" w:cs="宋体"/>
          <w:sz w:val="28"/>
          <w:szCs w:val="22"/>
          <w:lang w:val="en-US" w:eastAsia="zh-CN" w:bidi="ar-SA"/>
        </w:rPr>
        <w:t>”、进门选填“</w:t>
      </w:r>
      <w:r>
        <w:rPr>
          <w:rFonts w:hint="default" w:ascii="宋体" w:hAnsi="宋体" w:eastAsia="宋体" w:cs="宋体"/>
          <w:sz w:val="28"/>
          <w:szCs w:val="22"/>
          <w:em w:val="dot"/>
          <w:lang w:val="en-US" w:eastAsia="zh-CN" w:bidi="ar-SA"/>
        </w:rPr>
        <w:t>1号门</w:t>
      </w:r>
      <w:r>
        <w:rPr>
          <w:rFonts w:hint="default" w:ascii="宋体" w:hAnsi="宋体" w:eastAsia="宋体" w:cs="宋体"/>
          <w:sz w:val="28"/>
          <w:szCs w:val="22"/>
          <w:lang w:val="en-US" w:eastAsia="zh-CN" w:bidi="ar-SA"/>
        </w:rPr>
        <w:t>”，提交。图片为</w:t>
      </w:r>
      <w:r>
        <w:rPr>
          <w:rFonts w:hint="eastAsia" w:ascii="宋体" w:hAnsi="宋体" w:eastAsia="宋体" w:cs="宋体"/>
          <w:sz w:val="28"/>
          <w:szCs w:val="22"/>
          <w:lang w:val="en-US" w:eastAsia="zh-CN" w:bidi="ar-SA"/>
        </w:rPr>
        <w:t>您的面部照片</w:t>
      </w:r>
      <w:r>
        <w:rPr>
          <w:rFonts w:hint="default" w:ascii="宋体" w:hAnsi="宋体" w:eastAsia="宋体" w:cs="宋体"/>
          <w:sz w:val="28"/>
          <w:szCs w:val="22"/>
          <w:lang w:val="en-US" w:eastAsia="zh-CN" w:bidi="ar-SA"/>
        </w:rPr>
        <w:t>，不是</w:t>
      </w:r>
      <w:r>
        <w:rPr>
          <w:rFonts w:hint="eastAsia" w:ascii="宋体" w:hAnsi="宋体" w:eastAsia="宋体" w:cs="宋体"/>
          <w:sz w:val="28"/>
          <w:szCs w:val="22"/>
          <w:lang w:val="en-US" w:eastAsia="zh-CN" w:bidi="ar-SA"/>
        </w:rPr>
        <w:t>您的全身照，作为人脸识别依据</w:t>
      </w:r>
      <w:r>
        <w:rPr>
          <w:rFonts w:hint="default" w:ascii="宋体" w:hAnsi="宋体" w:eastAsia="宋体" w:cs="宋体"/>
          <w:sz w:val="28"/>
          <w:szCs w:val="22"/>
          <w:lang w:val="en-US" w:eastAsia="zh-CN" w:bidi="ar-SA"/>
        </w:rPr>
        <w:t>。</w:t>
      </w:r>
      <w:r>
        <w:rPr>
          <w:rFonts w:hint="eastAsia" w:ascii="宋体" w:hAnsi="宋体" w:eastAsia="宋体" w:cs="宋体"/>
          <w:sz w:val="28"/>
          <w:szCs w:val="22"/>
          <w:lang w:val="en-US" w:eastAsia="zh-CN" w:bidi="ar-SA"/>
        </w:rPr>
        <w:t>上传照片一定要清楚、周正、文件大小小于1M，以便顺利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w:t>
      </w:r>
    </w:p>
    <w:p w14:paraId="13A557F9">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bookmarkStart w:id="4" w:name="_Toc29295"/>
      <w:r>
        <w:rPr>
          <w:rFonts w:hint="eastAsia" w:ascii="Arial" w:hAnsi="Arial" w:eastAsia="宋体" w:cs="宋体"/>
          <w:sz w:val="28"/>
          <w:szCs w:val="22"/>
          <w:lang w:val="en-US" w:eastAsia="zh-CN" w:bidi="ar-SA"/>
        </w:rPr>
        <w:t>一人一小车情况</w:t>
      </w:r>
      <w:bookmarkEnd w:id="4"/>
    </w:p>
    <w:p w14:paraId="5F3DCDC8">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只用约车就行，车把您带进来。</w:t>
      </w:r>
    </w:p>
    <w:p w14:paraId="12ADFE5B">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多人一小车情况</w:t>
      </w:r>
    </w:p>
    <w:p w14:paraId="0E77AB5C">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人与车分别预约，请关注自己手机上的预约进度</w:t>
      </w:r>
    </w:p>
    <w:p w14:paraId="3187D41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汇合集中等待位置</w:t>
      </w:r>
    </w:p>
    <w:p w14:paraId="32DC76CC">
      <w:pPr>
        <w:bidi w:val="0"/>
        <w:jc w:val="center"/>
        <w:rPr>
          <w:rFonts w:hint="eastAsia"/>
          <w:lang w:val="en-US" w:eastAsia="zh-CN"/>
        </w:rPr>
      </w:pPr>
      <w:r>
        <w:rPr>
          <w:rFonts w:hint="eastAsia"/>
          <w:lang w:val="en-US" w:eastAsia="zh-CN"/>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12"/>
                    <a:stretch>
                      <a:fillRect/>
                    </a:stretch>
                  </pic:blipFill>
                  <pic:spPr>
                    <a:xfrm>
                      <a:off x="0" y="0"/>
                      <a:ext cx="3433445" cy="4866640"/>
                    </a:xfrm>
                    <a:prstGeom prst="rect">
                      <a:avLst/>
                    </a:prstGeom>
                    <a:noFill/>
                    <a:ln>
                      <a:noFill/>
                    </a:ln>
                  </pic:spPr>
                </pic:pic>
              </a:graphicData>
            </a:graphic>
          </wp:inline>
        </w:drawing>
      </w:r>
    </w:p>
    <w:p w14:paraId="2DA62210">
      <w:pPr>
        <w:pStyle w:val="11"/>
        <w:bidi w:val="0"/>
        <w:jc w:val="center"/>
        <w:rPr>
          <w:rFonts w:hint="default" w:eastAsia="宋体"/>
          <w:lang w:val="en-US" w:eastAsia="zh-CN"/>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lang w:val="en-US" w:eastAsia="zh-CN"/>
        </w:rPr>
        <w:t>集中汇合点</w:t>
      </w:r>
      <w:bookmarkEnd w:id="5"/>
    </w:p>
    <w:p w14:paraId="51F5A2A5">
      <w:pPr>
        <w:bidi w:val="0"/>
        <w:rPr>
          <w:rFonts w:hint="eastAsia"/>
          <w:lang w:val="en-US" w:eastAsia="zh-CN"/>
        </w:rPr>
      </w:pPr>
    </w:p>
    <w:p w14:paraId="4E3A4345">
      <w:pPr>
        <w:bidi w:val="0"/>
        <w:rPr>
          <w:rFonts w:hint="eastAsia"/>
          <w:lang w:val="en-US" w:eastAsia="zh-CN"/>
        </w:rPr>
      </w:pPr>
    </w:p>
    <w:p w14:paraId="6FC16FFD">
      <w:pPr>
        <w:bidi w:val="0"/>
        <w:rPr>
          <w:rFonts w:hint="eastAsia"/>
          <w:lang w:val="en-US" w:eastAsia="zh-CN"/>
        </w:rPr>
        <w:sectPr>
          <w:pgSz w:w="11906" w:h="16838"/>
          <w:pgMar w:top="720" w:right="720" w:bottom="720" w:left="720" w:header="851" w:footer="992" w:gutter="0"/>
          <w:pgNumType w:fmt="decimal"/>
          <w:cols w:space="720" w:num="1"/>
          <w:docGrid w:type="lines" w:linePitch="312" w:charSpace="0"/>
        </w:sectPr>
      </w:pPr>
    </w:p>
    <w:p w14:paraId="7103D9E6">
      <w:pPr>
        <w:pStyle w:val="28"/>
        <w:bidi w:val="0"/>
        <w:ind w:left="0" w:leftChars="0" w:firstLine="420" w:firstLineChars="0"/>
        <w:rPr>
          <w:rFonts w:hint="eastAsia"/>
          <w:lang w:val="en-US" w:eastAsia="zh-CN"/>
        </w:rPr>
      </w:pPr>
      <w:r>
        <w:rPr>
          <w:rFonts w:hint="eastAsia"/>
          <w:lang w:val="en-US" w:eastAsia="zh-CN"/>
        </w:rPr>
        <w:t>合同附件使用说明</w:t>
      </w:r>
    </w:p>
    <w:p w14:paraId="0135D0E6">
      <w:pPr>
        <w:pStyle w:val="27"/>
        <w:bidi w:val="0"/>
        <w:jc w:val="center"/>
        <w:rPr>
          <w:rFonts w:hint="eastAsia" w:ascii="黑体" w:hAnsi="黑体" w:eastAsia="黑体" w:cs="黑体"/>
          <w:lang w:val="en-US" w:eastAsia="zh-CN"/>
        </w:rPr>
      </w:pPr>
      <w:r>
        <w:rPr>
          <w:rFonts w:hint="eastAsia" w:ascii="黑体" w:hAnsi="黑体" w:eastAsia="黑体" w:cs="黑体"/>
          <w:lang w:val="en-US" w:eastAsia="zh-CN"/>
        </w:rPr>
        <w:t>使用说明</w:t>
      </w:r>
    </w:p>
    <w:p w14:paraId="3CDDBA4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需要提前踏勘现场请阅知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_Ref16409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附件2</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3B47EA1">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需要在循环宝平台报价前，提供资质审核条件请阅知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_Ref149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附件4</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AE7847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签署正式合同请阅知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7941C3AF">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）承诺函与</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业务澄清说明为一合同一签；</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_Ref17633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附件7</w:t>
      </w:r>
      <w:r>
        <w:rPr>
          <w:rFonts w:hint="eastAsia" w:ascii="宋体" w:hAnsi="宋体" w:eastAsia="宋体" w:cs="宋体"/>
          <w:lang w:val="en-US" w:eastAsia="zh-CN"/>
        </w:rPr>
        <w:fldChar w:fldCharType="end"/>
      </w:r>
      <w:r>
        <w:rPr>
          <w:rFonts w:hint="eastAsia" w:ascii="宋体" w:hAnsi="宋体" w:eastAsia="宋体" w:cs="宋体"/>
          <w:lang w:val="en-US" w:eastAsia="zh-CN"/>
        </w:rPr>
        <w:t>廉洁协议为一单位一签，签过不必重签.</w:t>
      </w:r>
    </w:p>
    <w:p w14:paraId="564F5B65">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打印前一般</w:t>
      </w:r>
      <w:r>
        <w:rPr>
          <w:rFonts w:hint="eastAsia" w:ascii="宋体" w:hAnsi="宋体" w:eastAsia="宋体" w:cs="宋体"/>
          <w:em w:val="dot"/>
          <w:lang w:val="en-US" w:eastAsia="zh-CN"/>
        </w:rPr>
        <w:t>不要轻易做出格式调整</w:t>
      </w:r>
      <w:r>
        <w:rPr>
          <w:rFonts w:hint="eastAsia" w:ascii="宋体" w:hAnsi="宋体" w:eastAsia="宋体" w:cs="宋体"/>
          <w:lang w:val="en-US" w:eastAsia="zh-CN"/>
        </w:rPr>
        <w:t>，文档都经过精调，多余调整可能会错位.</w:t>
      </w:r>
    </w:p>
    <w:p w14:paraId="35FF06A0">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合同以及其他必须得合同附件等各个文件，足份打印、足份签字盖章；签字盖章的地方有重点强调。签字与盖章不要省、不要错位.</w:t>
      </w:r>
    </w:p>
    <w:p w14:paraId="79353482">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注意行政公章与合同公章应用区分.</w:t>
      </w:r>
    </w:p>
    <w:p w14:paraId="79C43B73">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若邮寄请邮寄至地址：山东省日照市山东钢铁日照有限公司协同楼101室，魏经理，0633-7925565.</w:t>
      </w:r>
    </w:p>
    <w:p w14:paraId="71058F2D">
      <w:pPr>
        <w:keepNext/>
        <w:keepLines/>
        <w:widowControl w:val="0"/>
        <w:numPr>
          <w:ilvl w:val="0"/>
          <w:numId w:val="0"/>
        </w:numPr>
        <w:bidi w:val="0"/>
        <w:spacing w:beforeLines="0" w:beforeAutospacing="0" w:afterLines="0" w:afterAutospacing="0" w:line="560" w:lineRule="exact"/>
        <w:ind w:leftChars="0"/>
        <w:jc w:val="both"/>
        <w:outlineLvl w:val="0"/>
        <w:rPr>
          <w:rFonts w:hint="eastAsia" w:ascii="黑体" w:hAnsi="黑体" w:eastAsia="黑体" w:cs="Times New Roman"/>
          <w:kern w:val="44"/>
          <w:sz w:val="32"/>
          <w:szCs w:val="24"/>
          <w:lang w:val="en-US" w:eastAsia="zh-CN" w:bidi="ar-SA"/>
        </w:rPr>
        <w:sectPr>
          <w:pgSz w:w="11906" w:h="16838"/>
          <w:pgMar w:top="720" w:right="720" w:bottom="720" w:left="720" w:header="851" w:footer="992" w:gutter="0"/>
          <w:pgNumType w:fmt="decimal"/>
          <w:cols w:space="720" w:num="1"/>
          <w:docGrid w:type="lines" w:linePitch="312" w:charSpace="0"/>
        </w:sectPr>
      </w:pPr>
    </w:p>
    <w:p w14:paraId="7D3B5829">
      <w:pPr>
        <w:pStyle w:val="28"/>
        <w:bidi w:val="0"/>
        <w:ind w:left="0" w:leftChars="0" w:firstLine="420" w:firstLineChars="0"/>
        <w:rPr>
          <w:rFonts w:hint="eastAsia"/>
          <w:lang w:val="en-US" w:eastAsia="zh-CN"/>
        </w:rPr>
      </w:pPr>
      <w:bookmarkStart w:id="6" w:name="_Ref149"/>
      <w:r>
        <w:rPr>
          <w:rFonts w:hint="eastAsia"/>
          <w:lang w:val="en-US" w:eastAsia="zh-CN"/>
        </w:rPr>
        <w:t>山钢招标采购平台网上上传资质与报价流程</w:t>
      </w:r>
      <w:bookmarkEnd w:id="6"/>
    </w:p>
    <w:p w14:paraId="188CC6A7">
      <w:pPr>
        <w:numPr>
          <w:ilvl w:val="0"/>
          <w:numId w:val="12"/>
        </w:numPr>
        <w:ind w:left="0" w:leftChars="0" w:firstLine="420" w:firstLineChars="0"/>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网上投标注册流程</w:t>
      </w:r>
    </w:p>
    <w:p w14:paraId="552AB2C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招标采购平台地址：</w:t>
      </w:r>
      <w:r>
        <w:rPr>
          <w:rFonts w:ascii="Times New Roman" w:hAnsi="Times New Roman" w:eastAsia="宋体" w:cs="Times New Roman"/>
          <w:b w:val="0"/>
          <w:bCs w:val="0"/>
          <w:color w:val="auto"/>
          <w:sz w:val="24"/>
          <w:szCs w:val="24"/>
        </w:rPr>
        <w:fldChar w:fldCharType="begin"/>
      </w:r>
      <w:r>
        <w:rPr>
          <w:rFonts w:ascii="Times New Roman" w:hAnsi="Times New Roman" w:eastAsia="宋体" w:cs="Times New Roman"/>
          <w:b w:val="0"/>
          <w:bCs w:val="0"/>
          <w:color w:val="auto"/>
          <w:sz w:val="24"/>
          <w:szCs w:val="24"/>
        </w:rPr>
        <w:instrText xml:space="preserve"> HYPERLINK "http://bams.shansteelgroup.com/Suppliers/Default.aspx" </w:instrText>
      </w:r>
      <w:r>
        <w:rPr>
          <w:rFonts w:ascii="Times New Roman" w:hAnsi="Times New Roman" w:eastAsia="宋体" w:cs="Times New Roman"/>
          <w:b w:val="0"/>
          <w:bCs w:val="0"/>
          <w:color w:val="auto"/>
          <w:sz w:val="24"/>
          <w:szCs w:val="24"/>
        </w:rPr>
        <w:fldChar w:fldCharType="separate"/>
      </w:r>
      <w:r>
        <w:rPr>
          <w:rFonts w:ascii="Times New Roman" w:hAnsi="Times New Roman" w:eastAsia="宋体" w:cs="Times New Roman"/>
          <w:b w:val="0"/>
          <w:bCs w:val="0"/>
          <w:color w:val="auto"/>
          <w:sz w:val="24"/>
          <w:szCs w:val="24"/>
          <w:u w:val="single"/>
        </w:rPr>
        <w:t>http://bams.shansteelgroup.com/Suppliers/Default.aspx</w:t>
      </w:r>
      <w:r>
        <w:rPr>
          <w:rFonts w:ascii="Times New Roman" w:hAnsi="Times New Roman" w:eastAsia="宋体" w:cs="Times New Roman"/>
          <w:b w:val="0"/>
          <w:bCs w:val="0"/>
          <w:color w:val="auto"/>
          <w:sz w:val="24"/>
          <w:szCs w:val="24"/>
          <w:u w:val="single"/>
        </w:rPr>
        <w:fldChar w:fldCharType="end"/>
      </w:r>
    </w:p>
    <w:p w14:paraId="2EC5E9F4">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左侧“</w:t>
      </w:r>
      <w:r>
        <w:rPr>
          <w:rFonts w:hint="eastAsia" w:ascii="Times New Roman" w:hAnsi="Times New Roman" w:eastAsia="宋体" w:cs="Times New Roman"/>
          <w:b w:val="0"/>
          <w:bCs w:val="0"/>
          <w:color w:val="auto"/>
          <w:sz w:val="24"/>
          <w:szCs w:val="24"/>
          <w:highlight w:val="yellow"/>
        </w:rPr>
        <w:t>供应商入口</w:t>
      </w:r>
      <w:r>
        <w:rPr>
          <w:rFonts w:hint="eastAsia" w:ascii="Times New Roman" w:hAnsi="Times New Roman" w:eastAsia="宋体" w:cs="Times New Roman"/>
          <w:b w:val="0"/>
          <w:bCs w:val="0"/>
          <w:color w:val="auto"/>
          <w:sz w:val="24"/>
          <w:szCs w:val="24"/>
        </w:rPr>
        <w:t>”，点击“</w:t>
      </w:r>
      <w:r>
        <w:rPr>
          <w:rFonts w:hint="eastAsia" w:ascii="Times New Roman" w:hAnsi="Times New Roman" w:eastAsia="宋体" w:cs="Times New Roman"/>
          <w:b w:val="0"/>
          <w:bCs w:val="0"/>
          <w:color w:val="auto"/>
          <w:sz w:val="24"/>
          <w:szCs w:val="24"/>
          <w:highlight w:val="yellow"/>
        </w:rPr>
        <w:t>注册</w:t>
      </w:r>
      <w:r>
        <w:rPr>
          <w:rFonts w:hint="eastAsia" w:ascii="Times New Roman" w:hAnsi="Times New Roman" w:eastAsia="宋体" w:cs="Times New Roman"/>
          <w:b w:val="0"/>
          <w:bCs w:val="0"/>
          <w:color w:val="auto"/>
          <w:sz w:val="24"/>
          <w:szCs w:val="24"/>
        </w:rPr>
        <w:t>”</w:t>
      </w:r>
    </w:p>
    <w:p w14:paraId="3BCDDA9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3"/>
                    <a:stretch>
                      <a:fillRect/>
                    </a:stretch>
                  </pic:blipFill>
                  <pic:spPr>
                    <a:xfrm>
                      <a:off x="0" y="0"/>
                      <a:ext cx="5039995" cy="3385185"/>
                    </a:xfrm>
                    <a:prstGeom prst="rect">
                      <a:avLst/>
                    </a:prstGeom>
                    <a:noFill/>
                    <a:ln>
                      <a:noFill/>
                    </a:ln>
                  </pic:spPr>
                </pic:pic>
              </a:graphicData>
            </a:graphic>
          </wp:inline>
        </w:drawing>
      </w:r>
    </w:p>
    <w:p w14:paraId="10B760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输入</w:t>
      </w:r>
      <w:r>
        <w:rPr>
          <w:rFonts w:hint="eastAsia" w:ascii="Times New Roman" w:hAnsi="Times New Roman" w:eastAsia="宋体" w:cs="Times New Roman"/>
          <w:b w:val="0"/>
          <w:bCs w:val="0"/>
          <w:color w:val="auto"/>
          <w:sz w:val="24"/>
          <w:szCs w:val="24"/>
          <w:highlight w:val="yellow"/>
        </w:rPr>
        <w:t>企业名称</w:t>
      </w:r>
      <w:r>
        <w:rPr>
          <w:rFonts w:hint="eastAsia" w:ascii="Times New Roman" w:hAnsi="Times New Roman" w:eastAsia="宋体" w:cs="Times New Roman"/>
          <w:b w:val="0"/>
          <w:bCs w:val="0"/>
          <w:color w:val="auto"/>
          <w:sz w:val="24"/>
          <w:szCs w:val="24"/>
        </w:rPr>
        <w:t>、设置</w:t>
      </w:r>
      <w:r>
        <w:rPr>
          <w:rFonts w:hint="eastAsia" w:ascii="Times New Roman" w:hAnsi="Times New Roman" w:eastAsia="宋体" w:cs="Times New Roman"/>
          <w:b w:val="0"/>
          <w:bCs w:val="0"/>
          <w:color w:val="auto"/>
          <w:sz w:val="24"/>
          <w:szCs w:val="24"/>
          <w:highlight w:val="yellow"/>
        </w:rPr>
        <w:t>用户名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密码</w:t>
      </w:r>
      <w:r>
        <w:rPr>
          <w:rFonts w:hint="eastAsia" w:ascii="Times New Roman" w:hAnsi="Times New Roman" w:eastAsia="宋体" w:cs="Times New Roman"/>
          <w:b w:val="0"/>
          <w:bCs w:val="0"/>
          <w:color w:val="auto"/>
          <w:sz w:val="24"/>
          <w:szCs w:val="24"/>
        </w:rPr>
        <w:t>，点击下一步</w:t>
      </w:r>
    </w:p>
    <w:p w14:paraId="5D3B9592">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4"/>
                    <a:stretch>
                      <a:fillRect/>
                    </a:stretch>
                  </pic:blipFill>
                  <pic:spPr>
                    <a:xfrm>
                      <a:off x="0" y="0"/>
                      <a:ext cx="5039995" cy="2035175"/>
                    </a:xfrm>
                    <a:prstGeom prst="rect">
                      <a:avLst/>
                    </a:prstGeom>
                    <a:noFill/>
                    <a:ln>
                      <a:noFill/>
                    </a:ln>
                  </pic:spPr>
                </pic:pic>
              </a:graphicData>
            </a:graphic>
          </wp:inline>
        </w:drawing>
      </w:r>
    </w:p>
    <w:p w14:paraId="311276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录入</w:t>
      </w:r>
      <w:r>
        <w:rPr>
          <w:rFonts w:hint="eastAsia" w:ascii="Times New Roman" w:hAnsi="Times New Roman" w:eastAsia="宋体" w:cs="Times New Roman"/>
          <w:b w:val="0"/>
          <w:bCs w:val="0"/>
          <w:color w:val="auto"/>
          <w:sz w:val="24"/>
          <w:szCs w:val="24"/>
          <w:highlight w:val="yellow"/>
        </w:rPr>
        <w:t>注册资金</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开户银行信息</w:t>
      </w:r>
      <w:r>
        <w:rPr>
          <w:rFonts w:hint="eastAsia" w:ascii="Times New Roman" w:hAnsi="Times New Roman" w:eastAsia="宋体" w:cs="Times New Roman"/>
          <w:b w:val="0"/>
          <w:bCs w:val="0"/>
          <w:color w:val="auto"/>
          <w:sz w:val="24"/>
          <w:szCs w:val="24"/>
        </w:rPr>
        <w:t>，此页面除邮政编码外需要全部填写</w:t>
      </w:r>
    </w:p>
    <w:p w14:paraId="5680921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5"/>
                    <a:stretch>
                      <a:fillRect/>
                    </a:stretch>
                  </pic:blipFill>
                  <pic:spPr>
                    <a:xfrm>
                      <a:off x="0" y="0"/>
                      <a:ext cx="5039995" cy="2132330"/>
                    </a:xfrm>
                    <a:prstGeom prst="rect">
                      <a:avLst/>
                    </a:prstGeom>
                    <a:noFill/>
                    <a:ln>
                      <a:noFill/>
                    </a:ln>
                  </pic:spPr>
                </pic:pic>
              </a:graphicData>
            </a:graphic>
          </wp:inline>
        </w:drawing>
      </w:r>
    </w:p>
    <w:p w14:paraId="37522B0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填写</w:t>
      </w:r>
      <w:r>
        <w:rPr>
          <w:rFonts w:hint="eastAsia" w:ascii="Times New Roman" w:hAnsi="Times New Roman" w:eastAsia="宋体" w:cs="Times New Roman"/>
          <w:b w:val="0"/>
          <w:bCs w:val="0"/>
          <w:color w:val="auto"/>
          <w:sz w:val="24"/>
          <w:szCs w:val="24"/>
          <w:highlight w:val="yellow"/>
        </w:rPr>
        <w:t>法人代表姓名</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授权代理人姓名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手机号</w:t>
      </w:r>
    </w:p>
    <w:p w14:paraId="495053F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6"/>
                    <a:stretch>
                      <a:fillRect/>
                    </a:stretch>
                  </pic:blipFill>
                  <pic:spPr>
                    <a:xfrm>
                      <a:off x="0" y="0"/>
                      <a:ext cx="5039995" cy="5291455"/>
                    </a:xfrm>
                    <a:prstGeom prst="rect">
                      <a:avLst/>
                    </a:prstGeom>
                    <a:noFill/>
                    <a:ln>
                      <a:noFill/>
                    </a:ln>
                  </pic:spPr>
                </pic:pic>
              </a:graphicData>
            </a:graphic>
          </wp:inline>
        </w:drawing>
      </w:r>
    </w:p>
    <w:p w14:paraId="10BE152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上传资质文件。填写营业执照有效期，上传</w:t>
      </w:r>
      <w:r>
        <w:rPr>
          <w:rFonts w:hint="eastAsia" w:ascii="Times New Roman" w:hAnsi="Times New Roman" w:eastAsia="宋体" w:cs="Times New Roman"/>
          <w:b w:val="0"/>
          <w:bCs w:val="0"/>
          <w:color w:val="auto"/>
          <w:sz w:val="24"/>
          <w:szCs w:val="24"/>
          <w:highlight w:val="yellow"/>
        </w:rPr>
        <w:t>营业执照、税务登记证、危废许可证、授权委托书</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本标相关的生产工艺流程</w:t>
      </w:r>
      <w:r>
        <w:rPr>
          <w:rFonts w:hint="eastAsia" w:ascii="Times New Roman" w:hAnsi="Times New Roman" w:eastAsia="宋体" w:cs="Times New Roman"/>
          <w:b w:val="0"/>
          <w:bCs w:val="0"/>
          <w:color w:val="auto"/>
          <w:sz w:val="24"/>
          <w:szCs w:val="24"/>
          <w:highlight w:val="yellow"/>
        </w:rPr>
        <w:t>等材料</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注意：本案列举的资料为典型案例资料，实际需上传资料以招标公告载明为准，进行适当调整、补充</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rPr>
        <w:t>（先“选择文件”，然后点“添加”），最后一项“拟投单位”选“</w:t>
      </w:r>
      <w:r>
        <w:rPr>
          <w:rFonts w:hint="eastAsia" w:ascii="Times New Roman" w:hAnsi="Times New Roman" w:eastAsia="宋体" w:cs="Times New Roman"/>
          <w:b w:val="0"/>
          <w:bCs w:val="0"/>
          <w:color w:val="auto"/>
          <w:sz w:val="24"/>
          <w:szCs w:val="24"/>
          <w:highlight w:val="yellow"/>
        </w:rPr>
        <w:t>日照公司</w:t>
      </w:r>
      <w:r>
        <w:rPr>
          <w:rFonts w:hint="eastAsia" w:ascii="Times New Roman" w:hAnsi="Times New Roman" w:eastAsia="宋体" w:cs="Times New Roman"/>
          <w:b w:val="0"/>
          <w:bCs w:val="0"/>
          <w:color w:val="auto"/>
          <w:sz w:val="24"/>
          <w:szCs w:val="24"/>
        </w:rPr>
        <w:t>”。</w:t>
      </w:r>
    </w:p>
    <w:p w14:paraId="2CC841F3">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注意：①营业执照有效期为无限期的，截至日期统一填写</w:t>
      </w:r>
      <w:r>
        <w:rPr>
          <w:rFonts w:ascii="Times New Roman" w:hAnsi="Times New Roman" w:eastAsia="宋体" w:cs="Times New Roman"/>
          <w:b w:val="0"/>
          <w:bCs w:val="0"/>
          <w:color w:val="auto"/>
          <w:sz w:val="24"/>
          <w:szCs w:val="24"/>
        </w:rPr>
        <w:t>2050-1-1</w:t>
      </w:r>
      <w:r>
        <w:rPr>
          <w:rFonts w:hint="eastAsia" w:ascii="Times New Roman" w:hAnsi="Times New Roman" w:eastAsia="宋体" w:cs="Times New Roman"/>
          <w:b w:val="0"/>
          <w:bCs w:val="0"/>
          <w:color w:val="auto"/>
          <w:sz w:val="24"/>
          <w:szCs w:val="24"/>
        </w:rPr>
        <w:t>；</w:t>
      </w:r>
    </w:p>
    <w:p w14:paraId="1BB51D1B">
      <w:pPr>
        <w:spacing w:line="360" w:lineRule="auto"/>
        <w:ind w:firstLine="720" w:firstLineChars="3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②已经三证合一，没有税务登记证的，税务登记证处再上传一遍营业执照。</w:t>
      </w:r>
    </w:p>
    <w:p w14:paraId="6AC5675B">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17"/>
                    <a:stretch>
                      <a:fillRect/>
                    </a:stretch>
                  </pic:blipFill>
                  <pic:spPr>
                    <a:xfrm>
                      <a:off x="0" y="0"/>
                      <a:ext cx="5039995" cy="2435860"/>
                    </a:xfrm>
                    <a:prstGeom prst="rect">
                      <a:avLst/>
                    </a:prstGeom>
                    <a:noFill/>
                    <a:ln>
                      <a:noFill/>
                    </a:ln>
                  </pic:spPr>
                </pic:pic>
              </a:graphicData>
            </a:graphic>
          </wp:inline>
        </w:drawing>
      </w:r>
    </w:p>
    <w:p w14:paraId="105DBD8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点击“完成”，点击“确定”。然后</w:t>
      </w:r>
      <w:r>
        <w:rPr>
          <w:rFonts w:hint="eastAsia" w:ascii="Times New Roman" w:hAnsi="Times New Roman" w:eastAsia="宋体" w:cs="Times New Roman"/>
          <w:b w:val="0"/>
          <w:bCs w:val="0"/>
          <w:color w:val="auto"/>
          <w:sz w:val="24"/>
          <w:szCs w:val="24"/>
          <w:highlight w:val="yellow"/>
        </w:rPr>
        <w:t>联系客户经理进行资质审核</w:t>
      </w:r>
      <w:r>
        <w:rPr>
          <w:rFonts w:hint="eastAsia" w:ascii="Times New Roman" w:hAnsi="Times New Roman" w:eastAsia="宋体" w:cs="Times New Roman"/>
          <w:b w:val="0"/>
          <w:bCs w:val="0"/>
          <w:color w:val="auto"/>
          <w:sz w:val="24"/>
          <w:szCs w:val="24"/>
        </w:rPr>
        <w:t>。</w:t>
      </w:r>
    </w:p>
    <w:p w14:paraId="3C013807">
      <w:pPr>
        <w:numPr>
          <w:ilvl w:val="0"/>
          <w:numId w:val="12"/>
        </w:numPr>
        <w:ind w:left="0" w:leftChars="0" w:firstLine="420" w:firstLineChars="0"/>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网上报价流程</w:t>
      </w:r>
    </w:p>
    <w:p w14:paraId="0279FEF1">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使用公司注册的账户密码登陆系统。</w:t>
      </w:r>
    </w:p>
    <w:p w14:paraId="04E90E0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18"/>
                    <a:stretch>
                      <a:fillRect/>
                    </a:stretch>
                  </pic:blipFill>
                  <pic:spPr>
                    <a:xfrm>
                      <a:off x="0" y="0"/>
                      <a:ext cx="5039995" cy="1751330"/>
                    </a:xfrm>
                    <a:prstGeom prst="rect">
                      <a:avLst/>
                    </a:prstGeom>
                    <a:noFill/>
                    <a:ln>
                      <a:noFill/>
                    </a:ln>
                  </pic:spPr>
                </pic:pic>
              </a:graphicData>
            </a:graphic>
          </wp:inline>
        </w:drawing>
      </w:r>
    </w:p>
    <w:p w14:paraId="3BC022F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网上报名</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标签，并对感兴趣的招标进行报名操作及文件下载。</w:t>
      </w:r>
    </w:p>
    <w:p w14:paraId="1A28C25C">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19"/>
                    <a:stretch>
                      <a:fillRect/>
                    </a:stretch>
                  </pic:blipFill>
                  <pic:spPr>
                    <a:xfrm>
                      <a:off x="0" y="0"/>
                      <a:ext cx="5039995" cy="2259965"/>
                    </a:xfrm>
                    <a:prstGeom prst="rect">
                      <a:avLst/>
                    </a:prstGeom>
                    <a:noFill/>
                    <a:ln>
                      <a:noFill/>
                    </a:ln>
                  </pic:spPr>
                </pic:pic>
              </a:graphicData>
            </a:graphic>
          </wp:inline>
        </w:drawing>
      </w:r>
    </w:p>
    <w:p w14:paraId="0638EAD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查看投标资质，勾选‘分包’，点击‘报名’。</w:t>
      </w:r>
    </w:p>
    <w:p w14:paraId="1E6267E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20"/>
                    <a:stretch>
                      <a:fillRect/>
                    </a:stretch>
                  </pic:blipFill>
                  <pic:spPr>
                    <a:xfrm>
                      <a:off x="0" y="0"/>
                      <a:ext cx="5039995" cy="3093720"/>
                    </a:xfrm>
                    <a:prstGeom prst="rect">
                      <a:avLst/>
                    </a:prstGeom>
                    <a:noFill/>
                    <a:ln>
                      <a:noFill/>
                    </a:ln>
                  </pic:spPr>
                </pic:pic>
              </a:graphicData>
            </a:graphic>
          </wp:inline>
        </w:drawing>
      </w:r>
    </w:p>
    <w:p w14:paraId="072D59C6">
      <w:pPr>
        <w:spacing w:line="360" w:lineRule="auto"/>
        <w:jc w:val="left"/>
        <w:rPr>
          <w:rFonts w:ascii="Times New Roman" w:hAnsi="Times New Roman" w:eastAsia="宋体" w:cs="Times New Roman"/>
          <w:b w:val="0"/>
          <w:bCs w:val="0"/>
          <w:color w:val="auto"/>
          <w:sz w:val="24"/>
          <w:szCs w:val="24"/>
        </w:rPr>
      </w:pPr>
    </w:p>
    <w:p w14:paraId="423D2D6C">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报名后，系统人员会审核相关资料，待无误后，即会出现‘网上投标’选项，查看投标情况。点击‘板坯销售投标’进行投标文件的编制。</w:t>
      </w:r>
    </w:p>
    <w:p w14:paraId="3D8BB84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21"/>
                    <a:stretch>
                      <a:fillRect/>
                    </a:stretch>
                  </pic:blipFill>
                  <pic:spPr>
                    <a:xfrm>
                      <a:off x="0" y="0"/>
                      <a:ext cx="5263515" cy="1148715"/>
                    </a:xfrm>
                    <a:prstGeom prst="rect">
                      <a:avLst/>
                    </a:prstGeom>
                    <a:noFill/>
                    <a:ln>
                      <a:noFill/>
                    </a:ln>
                  </pic:spPr>
                </pic:pic>
              </a:graphicData>
            </a:graphic>
          </wp:inline>
        </w:drawing>
      </w:r>
    </w:p>
    <w:p w14:paraId="54B0B50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填写数量及单价后，保存，并点击完成投标。填写数量及单价后，保存，并点击完成投标。点击‘增加品种’，并在钢种处添加名称“标段序号”或“名称”，填写数量及单价。</w:t>
      </w:r>
      <w:r>
        <w:rPr>
          <w:rFonts w:hint="eastAsia" w:ascii="Times New Roman" w:hAnsi="Times New Roman" w:eastAsia="宋体" w:cs="Times New Roman"/>
          <w:b w:val="0"/>
          <w:bCs w:val="0"/>
          <w:color w:val="auto"/>
          <w:sz w:val="24"/>
          <w:szCs w:val="24"/>
          <w:highlight w:val="yellow"/>
          <w:lang w:val="en-US" w:eastAsia="zh-CN"/>
        </w:rPr>
        <w:t>建议报价统一填写1</w:t>
      </w:r>
      <w:r>
        <w:rPr>
          <w:rFonts w:hint="eastAsia" w:ascii="Times New Roman" w:hAnsi="Times New Roman" w:cs="Times New Roman"/>
          <w:b w:val="0"/>
          <w:bCs w:val="0"/>
          <w:color w:val="auto"/>
          <w:sz w:val="24"/>
          <w:szCs w:val="24"/>
          <w:highlight w:val="yellow"/>
          <w:lang w:val="en-US" w:eastAsia="zh-CN"/>
        </w:rPr>
        <w:t>元/吨</w:t>
      </w:r>
      <w:r>
        <w:rPr>
          <w:rFonts w:hint="eastAsia" w:ascii="Times New Roman" w:hAnsi="Times New Roman" w:eastAsia="宋体" w:cs="Times New Roman"/>
          <w:b w:val="0"/>
          <w:bCs w:val="0"/>
          <w:color w:val="auto"/>
          <w:sz w:val="24"/>
          <w:szCs w:val="24"/>
          <w:highlight w:val="yellow"/>
          <w:lang w:val="en-US" w:eastAsia="zh-CN"/>
        </w:rPr>
        <w:t>。</w:t>
      </w:r>
    </w:p>
    <w:p w14:paraId="5196342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22"/>
                    <a:stretch>
                      <a:fillRect/>
                    </a:stretch>
                  </pic:blipFill>
                  <pic:spPr>
                    <a:xfrm>
                      <a:off x="0" y="0"/>
                      <a:ext cx="5039995" cy="2162810"/>
                    </a:xfrm>
                    <a:prstGeom prst="rect">
                      <a:avLst/>
                    </a:prstGeom>
                    <a:noFill/>
                    <a:ln>
                      <a:noFill/>
                    </a:ln>
                  </pic:spPr>
                </pic:pic>
              </a:graphicData>
            </a:graphic>
          </wp:inline>
        </w:drawing>
      </w:r>
    </w:p>
    <w:p w14:paraId="5D45B3C0">
      <w:pPr>
        <w:spacing w:line="360" w:lineRule="auto"/>
        <w:jc w:val="left"/>
        <w:rPr>
          <w:rFonts w:ascii="Times New Roman" w:hAnsi="Times New Roman" w:eastAsia="宋体" w:cs="Times New Roman"/>
          <w:b w:val="0"/>
          <w:bCs w:val="0"/>
          <w:color w:val="auto"/>
          <w:sz w:val="24"/>
          <w:szCs w:val="24"/>
        </w:rPr>
      </w:pPr>
    </w:p>
    <w:p w14:paraId="7FEFD12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至此，投标工作完成。并可通过此界面进行投标文件的撤回，及投标内容的修改。在招标报名后，即可填写投标文件并提报，无限制。（注：在开标时间到达后，投标文件将拒绝接收。）</w:t>
      </w:r>
    </w:p>
    <w:p w14:paraId="12AC8140">
      <w:pPr>
        <w:pStyle w:val="28"/>
        <w:bidi w:val="0"/>
        <w:ind w:left="0" w:leftChars="0" w:firstLine="420" w:firstLineChars="0"/>
        <w:rPr>
          <w:rFonts w:hint="default"/>
          <w:lang w:val="en-US" w:eastAsia="zh-CN"/>
        </w:rPr>
      </w:pPr>
      <w:bookmarkStart w:id="7" w:name="_Ref8462"/>
      <w:bookmarkStart w:id="8" w:name="_Ref17623"/>
      <w:r>
        <w:rPr>
          <w:rFonts w:hint="default"/>
          <w:lang w:val="en-US" w:eastAsia="zh-CN"/>
        </w:rPr>
        <mc:AlternateContent>
          <mc:Choice Requires="wps">
            <w:drawing>
              <wp:anchor distT="0" distB="0" distL="114300" distR="114300" simplePos="0" relativeHeight="251659264"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7" name="文本框 37"/>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wps:txbx>
                      <wps:bodyPr wrap="square" upright="1"/>
                    </wps:wsp>
                  </a:graphicData>
                </a:graphic>
              </wp:anchor>
            </w:drawing>
          </mc:Choice>
          <mc:Fallback>
            <w:pict>
              <v:shape id="文本框 37" o:spid="_x0000_s1026" o:spt="202" type="#_x0000_t202" style="position:absolute;left:0pt;margin-left:367.45pt;margin-top:-20.4pt;height:32.1pt;width:153.3pt;z-index:251659264;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Ak6hI3MAQAAhgMAAA4AAABkcnMvZTJvRG9jLnhtbK1T&#10;zY7TMBC+I/EOlu806bJq2a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bq4XN3NySfJd&#10;l8vFM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CTqEjcwBAACGAwAADgAAAAAAAAABACAAAAAo&#10;AQAAZHJzL2Uyb0RvYy54bWxQSwUGAAAAAAYABgBZAQAAZgUAAAAA&#10;">
                <v:fill on="t" focussize="0,0"/>
                <v:stroke on="f"/>
                <v:imagedata o:title=""/>
                <o:lock v:ext="edit" aspectratio="f"/>
                <v:textbo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v:textbox>
              </v:shape>
            </w:pict>
          </mc:Fallback>
        </mc:AlternateContent>
      </w:r>
      <w:r>
        <w:rPr>
          <w:rFonts w:hint="default"/>
          <w:lang w:val="en-US" w:eastAsia="zh-CN"/>
        </w:rPr>
        <w:t>承诺函(</w:t>
      </w:r>
      <w:r>
        <w:rPr>
          <w:rFonts w:hint="eastAsia"/>
          <w:lang w:val="en-US" w:eastAsia="zh-CN"/>
        </w:rPr>
        <w:t>反向竞价</w:t>
      </w:r>
      <w:r>
        <w:rPr>
          <w:rFonts w:hint="default"/>
          <w:lang w:val="en-US" w:eastAsia="zh-CN"/>
        </w:rPr>
        <w:t>方式)</w:t>
      </w:r>
      <w:bookmarkEnd w:id="7"/>
      <w:r>
        <w:rPr>
          <w:rFonts w:hint="default"/>
          <w:lang w:val="en-US" w:eastAsia="zh-CN"/>
        </w:rPr>
        <w:t>（壹式壹份）</w:t>
      </w:r>
    </w:p>
    <w:p w14:paraId="6C9B3D6E">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1752C24F">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日照公司危废物资竞卖</w:t>
      </w:r>
      <w:r>
        <w:rPr>
          <w:rFonts w:hint="default" w:ascii="宋体" w:hAnsi="宋体" w:eastAsia="宋体" w:cs="宋体"/>
          <w:sz w:val="24"/>
          <w:szCs w:val="24"/>
          <w:lang w:val="en-US" w:eastAsia="zh-CN"/>
        </w:rPr>
        <w:t>公告202</w:t>
      </w:r>
      <w:r>
        <w:rPr>
          <w:rFonts w:hint="eastAsia" w:ascii="宋体" w:hAnsi="宋体" w:eastAsia="宋体" w:cs="宋体"/>
          <w:sz w:val="24"/>
          <w:szCs w:val="24"/>
          <w:lang w:val="en-US" w:eastAsia="zh-CN"/>
        </w:rPr>
        <w:t>50917</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r>
        <w:rPr>
          <w:rFonts w:hint="eastAsia" w:ascii="宋体" w:hAnsi="宋体" w:eastAsia="宋体" w:cs="宋体"/>
          <w:sz w:val="24"/>
          <w:szCs w:val="24"/>
          <w:em w:val="dot"/>
          <w:lang w:val="en-US" w:eastAsia="zh-CN"/>
        </w:rPr>
        <w:t>承诺</w:t>
      </w:r>
      <w:r>
        <w:rPr>
          <w:rFonts w:hint="eastAsia" w:ascii="宋体" w:hAnsi="宋体" w:eastAsia="宋体" w:cs="宋体"/>
          <w:sz w:val="24"/>
          <w:szCs w:val="24"/>
          <w:em w:val="dot"/>
        </w:rPr>
        <w:t>年度综合利用处理能力（含本次利用处理量）未达上限</w:t>
      </w:r>
    </w:p>
    <w:p w14:paraId="00CCB1B6">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cs="宋体"/>
          <w:sz w:val="24"/>
          <w:szCs w:val="24"/>
          <w:u w:val="single" w:color="0070C0"/>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55F5B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0D7675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10EDF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143AF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5A6AF3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7E613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3229C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15704101">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7CDC1A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194ABEE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4E06F16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754A8BAF">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9FE2B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62E17A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0756887E">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7A34F7B">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A4A6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AFA47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5632F86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11598515">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621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87F1C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E734A2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203941F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06D87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B41A1A5">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2A953EB0">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51D04136">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D8254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367F4B23">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913D537">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26CBEE48">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F109C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1A2D45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866967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374EB32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0FF24075">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em w:val="dot"/>
          <w:lang w:val="en-US" w:eastAsia="zh-CN"/>
        </w:rPr>
        <w:t>*若不涉及，则划去。根据实际在有无分包在方框内画√或者画×。</w:t>
      </w:r>
    </w:p>
    <w:p w14:paraId="0331ED9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上述报价为含税（</w:t>
      </w:r>
      <w:r>
        <w:rPr>
          <w:rFonts w:hint="eastAsia" w:ascii="宋体" w:hAnsi="宋体" w:eastAsia="宋体" w:cs="宋体"/>
          <w:sz w:val="24"/>
          <w:szCs w:val="24"/>
          <w:lang w:val="en-US" w:eastAsia="zh-CN"/>
        </w:rPr>
        <w:t>6</w:t>
      </w:r>
      <w:r>
        <w:rPr>
          <w:rFonts w:hint="eastAsia" w:ascii="宋体" w:hAnsi="宋体" w:eastAsia="宋体" w:cs="宋体"/>
          <w:sz w:val="24"/>
          <w:szCs w:val="24"/>
        </w:rPr>
        <w:t>%）人民币现汇出厂价格。认同竞卖公告中的所有条款，货品运输使用符合山东钢铁集团日照有限公司环保要求的车辆，并按照卖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550BDC63">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我司同意按照竞卖公告中的要求及上述承诺，承担相应的责任，并向山东钢铁集团日照有限公司缴纳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(≥Σ【预中标单价×公告上预估单重×5%】)</w:t>
      </w:r>
      <w:r>
        <w:rPr>
          <w:rFonts w:hint="eastAsia" w:ascii="宋体" w:hAnsi="宋体" w:eastAsia="宋体" w:cs="宋体"/>
          <w:sz w:val="24"/>
          <w:szCs w:val="24"/>
        </w:rPr>
        <w:t>的</w:t>
      </w:r>
      <w:r>
        <w:rPr>
          <w:rFonts w:hint="eastAsia" w:ascii="宋体" w:hAnsi="宋体" w:eastAsia="宋体" w:cs="宋体"/>
          <w:sz w:val="24"/>
          <w:szCs w:val="24"/>
          <w:lang w:val="en-US" w:eastAsia="zh-CN"/>
        </w:rPr>
        <w:t>履约</w:t>
      </w:r>
      <w:r>
        <w:rPr>
          <w:rFonts w:hint="eastAsia" w:ascii="宋体" w:hAnsi="宋体" w:eastAsia="宋体" w:cs="宋体"/>
          <w:sz w:val="24"/>
          <w:szCs w:val="24"/>
        </w:rPr>
        <w:t>保证金。如我司不按时签署合同、缴纳所需款项、违反竞卖公告或已签订合同中的条款，都将按照违约予以处理，并全额扣除该保证金。</w:t>
      </w:r>
    </w:p>
    <w:p w14:paraId="24F1090F">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单位（公章）</w:t>
      </w:r>
    </w:p>
    <w:p w14:paraId="5EABB20E">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5FA2AA3F">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1B10018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仿宋_GB2312" w:hAnsi="仿宋_GB2312" w:eastAsia="仿宋_GB2312" w:cs="仿宋_GB2312"/>
          <w:b w:val="0"/>
          <w:bCs/>
          <w:kern w:val="2"/>
          <w:sz w:val="30"/>
          <w:szCs w:val="3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7DAD1458">
      <w:pPr>
        <w:rPr>
          <w:rFonts w:hint="default"/>
          <w:lang w:val="en-US" w:eastAsia="zh-CN"/>
        </w:rPr>
        <w:sectPr>
          <w:pgSz w:w="11906" w:h="16838"/>
          <w:pgMar w:top="720" w:right="720" w:bottom="720" w:left="720" w:header="851" w:footer="992" w:gutter="0"/>
          <w:pgNumType w:fmt="decimal"/>
          <w:cols w:space="720" w:num="1"/>
          <w:docGrid w:type="lines" w:linePitch="312" w:charSpace="0"/>
        </w:sectPr>
      </w:pPr>
    </w:p>
    <w:p w14:paraId="62AC30A8">
      <w:pPr>
        <w:rPr>
          <w:rFonts w:hint="default"/>
          <w:lang w:val="en-US" w:eastAsia="zh-CN"/>
        </w:rPr>
      </w:pPr>
    </w:p>
    <w:p w14:paraId="7FBFECF0">
      <w:pPr>
        <w:pStyle w:val="28"/>
        <w:bidi w:val="0"/>
        <w:ind w:left="0" w:leftChars="0" w:firstLine="420" w:firstLineChars="0"/>
        <w:rPr>
          <w:rFonts w:hint="default"/>
          <w:lang w:val="en-US" w:eastAsia="zh-CN"/>
        </w:rPr>
      </w:pPr>
      <w:bookmarkStart w:id="9" w:name="_Ref2418"/>
      <w:r>
        <w:rPr>
          <w:rFonts w:hint="eastAsia"/>
          <w:lang w:val="en-US" w:eastAsia="zh-CN"/>
        </w:rPr>
        <w:t>承诺函</w:t>
      </w:r>
      <w:bookmarkEnd w:id="8"/>
      <w:r>
        <w:rPr>
          <w:rFonts w:hint="eastAsia"/>
          <w:lang w:val="en-US" w:eastAsia="zh-CN"/>
        </w:rPr>
        <w:t>(公开增价方式)</w:t>
      </w:r>
      <w:bookmarkEnd w:id="9"/>
      <w:r>
        <w:rPr>
          <w:rFonts w:hint="eastAsia"/>
          <w:lang w:val="en-US" w:eastAsia="zh-CN"/>
        </w:rPr>
        <w:t>（壹式壹份）</w:t>
      </w: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4666615</wp:posOffset>
                </wp:positionH>
                <wp:positionV relativeFrom="paragraph">
                  <wp:posOffset>-457200</wp:posOffset>
                </wp:positionV>
                <wp:extent cx="1946910" cy="407670"/>
                <wp:effectExtent l="0" t="0" r="8890" b="11430"/>
                <wp:wrapNone/>
                <wp:docPr id="8" name="文本框 38"/>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wps:txbx>
                      <wps:bodyPr wrap="square" upright="1"/>
                    </wps:wsp>
                  </a:graphicData>
                </a:graphic>
              </wp:anchor>
            </w:drawing>
          </mc:Choice>
          <mc:Fallback>
            <w:pict>
              <v:shape id="文本框 38" o:spid="_x0000_s1026" o:spt="202" type="#_x0000_t202" style="position:absolute;left:0pt;margin-left:367.45pt;margin-top:-36pt;height:32.1pt;width:153.3pt;z-index:251660288;mso-width-relative:page;mso-height-relative:page;" fillcolor="#FFFFFF" filled="t" stroked="f" coordsize="21600,21600" o:gfxdata="UEsDBAoAAAAAAIdO4kAAAAAAAAAAAAAAAAAEAAAAZHJzL1BLAwQUAAAACACHTuJAMixljtgAAAAL&#10;AQAADwAAAGRycy9kb3ducmV2LnhtbE2Py26DMBBF95XyD9ZE6qZKbFISEoqJ1Eqtus3jAwaYACoe&#10;I+yE5O9rVu1yZo7unJvt76YTNxpca1lDtFQgiEtbtVxrOJ8+F1sQziNX2FkmDQ9ysM9nTxmmlR35&#10;QLejr0UIYZeihsb7PpXSlQ0ZdEvbE4fbxQ4GfRiHWlYDjiHcdHKl1EYabDl8aLCnj4bKn+PVaLh8&#10;jy/r3Vh8+XNyiDfv2CaFfWj9PI/UGwhPd/8Hw6Qf1CEPToW9cuVEpyF5jXcB1bBIVqHURKg4WoMo&#10;ptUWZJ7J/x3yX1BLAwQUAAAACACHTuJAi3ctm80BAACGAwAADgAAAGRycy9lMm9Eb2MueG1srVPN&#10;jtMwEL4j8Q6W7zTpsuruRk1XgqpcECAtPIDrOIkl/zHjNukLwBtw4sKd5+pz7NjpdmG57IEcHHt+&#10;vpnvG3t5O1rD9gpQe1fz+azkTDnpG+26mn/5vHl1zRlG4RphvFM1Pyjkt6uXL5ZDqNSF771pFDAC&#10;cVgNoeZ9jKEqCpS9sgJnPihHztaDFZGO0BUNiIHQrSkuynJRDB6aAF4qRLKuJyc/IcJzAH3baqnW&#10;Xu6scnFCBWVEJErY64B8lbttWyXjx7ZFFZmpOTGNeaUitN+mtVgtRdWBCL2WpxbEc1p4wskK7ajo&#10;GWotomA70P9AWS3Bo2/jTHpbTESyIsRiXj7R5q4XQWUuJDWGs+j4/2Dlh/0nYLqpOY3dCUsDP/74&#10;fvz5+/jrG3t9nfQZAlYUdhcoMI5v/Ei35sGOZEy0xxZs+hMhRn5S93BWV42RyZR0c7m4mZNLku+y&#10;vFpcZfmLx+wAGN8pb1na1BxoellUsX+PkTqh0IeQVAy90c1GG5MP0G3fGmB7QZPe5C81SSl/hRmX&#10;gp1PaZM7WYrEceKSdnHcjifiW98ciPdAN6Tm+HUnQHG2C6C7njrMOuRkGk8udrpKaf5/nnOJx+ez&#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LGWO2AAAAAsBAAAPAAAAAAAAAAEAIAAAACIAAABk&#10;cnMvZG93bnJldi54bWxQSwECFAAUAAAACACHTuJAi3ctm80BAACGAwAADgAAAAAAAAABACAAAAAn&#10;AQAAZHJzL2Uyb0RvYy54bWxQSwUGAAAAAAYABgBZAQAAZgUAAAAA&#10;">
                <v:fill on="t" focussize="0,0"/>
                <v:stroke on="f"/>
                <v:imagedata o:title=""/>
                <o:lock v:ext="edit" aspectratio="f"/>
                <v:textbo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v:textbox>
              </v:shape>
            </w:pict>
          </mc:Fallback>
        </mc:AlternateContent>
      </w:r>
    </w:p>
    <w:p w14:paraId="5F655749">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27919DD4">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日照公司危废物资竞卖</w:t>
      </w:r>
      <w:r>
        <w:rPr>
          <w:rFonts w:hint="default" w:ascii="宋体" w:hAnsi="宋体" w:eastAsia="宋体" w:cs="宋体"/>
          <w:sz w:val="24"/>
          <w:szCs w:val="24"/>
          <w:lang w:val="en-US" w:eastAsia="zh-CN"/>
        </w:rPr>
        <w:t>公告202</w:t>
      </w:r>
      <w:r>
        <w:rPr>
          <w:rFonts w:hint="eastAsia" w:ascii="宋体" w:hAnsi="宋体" w:eastAsia="宋体" w:cs="宋体"/>
          <w:sz w:val="24"/>
          <w:szCs w:val="24"/>
          <w:lang w:val="en-US" w:eastAsia="zh-CN"/>
        </w:rPr>
        <w:t>50917</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r>
        <w:rPr>
          <w:rFonts w:hint="eastAsia" w:ascii="宋体" w:hAnsi="宋体" w:eastAsia="宋体" w:cs="宋体"/>
          <w:sz w:val="24"/>
          <w:szCs w:val="24"/>
          <w:em w:val="dot"/>
          <w:lang w:val="en-US" w:eastAsia="zh-CN"/>
        </w:rPr>
        <w:t>承诺</w:t>
      </w:r>
      <w:r>
        <w:rPr>
          <w:rFonts w:hint="eastAsia" w:ascii="宋体" w:hAnsi="宋体" w:eastAsia="宋体" w:cs="宋体"/>
          <w:sz w:val="24"/>
          <w:szCs w:val="24"/>
          <w:em w:val="dot"/>
        </w:rPr>
        <w:t>年度综合利用处理能力（含本次利用处理量）未达上限</w:t>
      </w:r>
      <w:r>
        <w:rPr>
          <w:rFonts w:hint="eastAsia" w:ascii="宋体" w:hAnsi="宋体" w:eastAsia="宋体" w:cs="宋体"/>
          <w:sz w:val="24"/>
          <w:szCs w:val="24"/>
          <w:em w:val="dot"/>
          <w:lang w:eastAsia="zh-CN"/>
        </w:rPr>
        <w:t>，</w:t>
      </w:r>
    </w:p>
    <w:p w14:paraId="38B1813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cs="宋体"/>
          <w:sz w:val="24"/>
          <w:szCs w:val="24"/>
          <w:u w:val="single" w:color="0070C0"/>
          <w:lang w:val="en-US" w:eastAsia="zh-CN"/>
        </w:rPr>
        <w:t>2025</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3F1813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2F2B9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7F59B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65FCF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6A0AA2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48B9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2F4751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365D09D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0FCEC1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7E8CDAF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5704187C">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527EBF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8C247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2C503B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1F56C284">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BA0B2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1A5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0ED76C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7D00CBFB">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4308946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82DF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C56406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3C2851E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5A89F78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27297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28BED17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C0DB935">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1264091A">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BA8EC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C96591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4F6740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1FD7510D">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58742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EC7B586">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9E4560F">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6EDAADA2">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67789379">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em w:val="dot"/>
          <w:lang w:val="en-US" w:eastAsia="zh-CN"/>
        </w:rPr>
      </w:pPr>
      <w:r>
        <w:rPr>
          <w:rFonts w:hint="eastAsia" w:ascii="宋体" w:hAnsi="宋体" w:eastAsia="宋体" w:cs="宋体"/>
          <w:sz w:val="24"/>
          <w:szCs w:val="24"/>
          <w:em w:val="dot"/>
          <w:lang w:val="en-US" w:eastAsia="zh-CN"/>
        </w:rPr>
        <w:t>*若不涉及，则划去。根据实际在有无分包在方框内画√或者画×。</w:t>
      </w:r>
    </w:p>
    <w:p w14:paraId="2FEBD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报价为含税（13%）人民币现汇出厂价格。认同竞卖公告中的所有条款，货品运输使用符合山东钢铁集团日照有限公司环保要求的车辆，并按照买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19B3E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我司同意按照竞卖公告中的要求及上述承诺，承担相应的责任，</w:t>
      </w:r>
      <w:r>
        <w:rPr>
          <w:rFonts w:hint="eastAsia" w:ascii="宋体" w:hAnsi="宋体" w:eastAsia="宋体" w:cs="宋体"/>
          <w:sz w:val="24"/>
          <w:szCs w:val="24"/>
          <w:lang w:val="en-US" w:eastAsia="zh-CN"/>
        </w:rPr>
        <w:t>于开标日当天16:00前，</w:t>
      </w:r>
      <w:r>
        <w:rPr>
          <w:rFonts w:hint="eastAsia" w:ascii="宋体" w:hAnsi="宋体" w:eastAsia="宋体" w:cs="宋体"/>
          <w:sz w:val="24"/>
          <w:szCs w:val="24"/>
        </w:rPr>
        <w:t>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(≥Σ【预中标单价×公告上预估单重×20%】)</w:t>
      </w:r>
      <w:r>
        <w:rPr>
          <w:rFonts w:hint="eastAsia" w:ascii="宋体" w:hAnsi="宋体" w:eastAsia="宋体" w:cs="宋体"/>
          <w:sz w:val="24"/>
          <w:szCs w:val="24"/>
        </w:rPr>
        <w:t>的预付订金。如我司不按时签署合同，缴纳所需款项，违反竞买公告及已签订合同中的条款，都将按照违约予以处理，并全额扣除该预付订金。</w:t>
      </w:r>
    </w:p>
    <w:p w14:paraId="16BF43E8">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both"/>
        <w:textAlignment w:val="auto"/>
        <w:rPr>
          <w:rFonts w:hint="eastAsia" w:ascii="宋体" w:hAnsi="宋体" w:eastAsia="宋体" w:cs="宋体"/>
          <w:b w:val="0"/>
          <w:bCs/>
          <w:color w:val="auto"/>
          <w:kern w:val="2"/>
          <w:sz w:val="24"/>
          <w:szCs w:val="24"/>
          <w:lang w:val="en-US" w:eastAsia="zh-CN" w:bidi="ar-SA"/>
        </w:rPr>
      </w:pPr>
    </w:p>
    <w:p w14:paraId="4F085592">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单位（公章）</w:t>
      </w:r>
    </w:p>
    <w:p w14:paraId="2218C5C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0B899F07">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default" w:ascii="仿宋_GB2312" w:hAnsi="宋体" w:eastAsia="仿宋_GB2312" w:cs="仿宋_GB2312"/>
          <w:kern w:val="0"/>
          <w:sz w:val="32"/>
          <w:szCs w:val="32"/>
          <w:lang w:val="en-US" w:eastAsia="zh-CN"/>
        </w:rPr>
        <w:sectPr>
          <w:pgSz w:w="11906" w:h="16838"/>
          <w:pgMar w:top="720" w:right="720" w:bottom="720" w:left="720" w:header="851" w:footer="992" w:gutter="0"/>
          <w:pgNumType w:fmt="decimal"/>
          <w:cols w:space="720" w:num="1"/>
          <w:docGrid w:type="lines" w:linePitch="312" w:charSpace="0"/>
        </w:sectPr>
      </w:pPr>
    </w:p>
    <w:p w14:paraId="2B36B964">
      <w:pPr>
        <w:pStyle w:val="28"/>
        <w:keepNext/>
        <w:keepLines/>
        <w:pageBreakBefore w:val="0"/>
        <w:widowControl w:val="0"/>
        <w:kinsoku/>
        <w:wordWrap/>
        <w:overflowPunct/>
        <w:topLinePunct w:val="0"/>
        <w:autoSpaceDE/>
        <w:autoSpaceDN/>
        <w:bidi w:val="0"/>
        <w:adjustRightInd/>
        <w:snapToGrid/>
        <w:spacing w:line="240" w:lineRule="atLeast"/>
        <w:ind w:left="0" w:leftChars="0" w:firstLine="420" w:firstLineChars="0"/>
        <w:textAlignment w:val="auto"/>
        <w:rPr>
          <w:rFonts w:hint="eastAsia"/>
          <w:sz w:val="24"/>
          <w:szCs w:val="24"/>
          <w:lang w:val="en-US" w:eastAsia="zh-CN"/>
        </w:rPr>
      </w:pPr>
      <w:bookmarkStart w:id="10" w:name="_Ref17633"/>
      <w:r>
        <w:rPr>
          <w:rFonts w:hint="eastAsia"/>
          <w:sz w:val="24"/>
          <w:szCs w:val="24"/>
          <w:lang w:val="en-US" w:eastAsia="zh-CN"/>
        </w:rPr>
        <w:t>廉洁诚信协议</w:t>
      </w:r>
      <w:bookmarkEnd w:id="10"/>
      <w:r>
        <w:rPr>
          <w:rFonts w:hint="eastAsia"/>
          <w:sz w:val="24"/>
          <w:szCs w:val="24"/>
          <w:lang w:val="en-US" w:eastAsia="zh-CN"/>
        </w:rPr>
        <w:t>（壹式叁份，正反单张打印）</w:t>
      </w:r>
    </w:p>
    <w:p w14:paraId="78363ECE">
      <w:pPr>
        <w:spacing w:after="0" w:line="240" w:lineRule="auto"/>
        <w:ind w:left="105" w:leftChars="50" w:right="105" w:rightChars="5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甲方：</w:t>
      </w:r>
      <w:r>
        <w:rPr>
          <w:rFonts w:hint="eastAsia" w:ascii="宋体" w:hAnsi="宋体" w:eastAsia="宋体" w:cs="宋体"/>
          <w:kern w:val="0"/>
          <w:sz w:val="20"/>
          <w:szCs w:val="20"/>
          <w:u w:val="single"/>
          <w:lang w:eastAsia="zh-CN"/>
        </w:rPr>
        <w:t>山东钢铁集团日照有限公司</w:t>
      </w:r>
    </w:p>
    <w:p w14:paraId="54146783">
      <w:pPr>
        <w:spacing w:after="0" w:line="240" w:lineRule="auto"/>
        <w:ind w:left="105" w:leftChars="50" w:right="105" w:rightChars="50"/>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t>乙方：</w:t>
      </w:r>
      <w:r>
        <w:rPr>
          <w:rFonts w:hint="eastAsia" w:ascii="宋体" w:hAnsi="宋体" w:cs="宋体"/>
          <w:kern w:val="0"/>
          <w:sz w:val="20"/>
          <w:szCs w:val="20"/>
          <w:lang w:val="en-US" w:eastAsia="zh-CN"/>
        </w:rPr>
        <w:t>________________________</w:t>
      </w:r>
    </w:p>
    <w:p w14:paraId="33F9EA1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为了营造廉洁诚信的优良环境，有效防范不正当竞争与商业贿赂，保障甲乙双方合法权益，促进双方在公平、公正、透明且高效的市场竞争中实现互利共赢，依据相关法律法规和廉政建设要求，甲乙双方经友好协商，一致同意在合作期限内签署并严格遵守本协议书。</w:t>
      </w:r>
    </w:p>
    <w:p w14:paraId="15975B7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第一条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在合作进程中，双方必须严格遵循国家法律法规及通行的商业伦理标准，秉持高尚的职业操守，推动正当的商业交流与合作，坚决抵制一切不廉洁与不诚信的行为。本协议所指的“不廉洁与不诚信行为”涵盖任何为谋取商业机遇、竞争优势或其他不当利益而违背法律、党纪及公序良俗的行为，具体包括但不限于：</w:t>
      </w:r>
    </w:p>
    <w:p w14:paraId="6A9D950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（一）商业贿赂：</w:t>
      </w:r>
      <w:r>
        <w:rPr>
          <w:rFonts w:hint="eastAsia" w:ascii="宋体" w:hAnsi="宋体" w:eastAsia="宋体" w:cs="宋体"/>
          <w:kern w:val="0"/>
          <w:sz w:val="20"/>
          <w:szCs w:val="20"/>
          <w:lang w:eastAsia="zh-CN"/>
        </w:rPr>
        <w:t>为促成交易或获取商业利益，直接或间接向相关人员提供财物或其他形式的好处。</w:t>
      </w:r>
    </w:p>
    <w:p w14:paraId="3A6B772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（二）制假售假：</w:t>
      </w:r>
      <w:r>
        <w:rPr>
          <w:rFonts w:hint="eastAsia" w:ascii="宋体" w:hAnsi="宋体" w:eastAsia="宋体" w:cs="宋体"/>
          <w:kern w:val="0"/>
          <w:sz w:val="20"/>
          <w:szCs w:val="20"/>
          <w:lang w:eastAsia="zh-CN"/>
        </w:rPr>
        <w:t>生产或销售假冒伪劣产品，冒充正品、仿冒知名品牌，以及进行误导性宣传。</w:t>
      </w:r>
    </w:p>
    <w:p w14:paraId="47C7CB5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（三）欺诈行为：</w:t>
      </w:r>
      <w:r>
        <w:rPr>
          <w:rFonts w:hint="eastAsia" w:ascii="宋体" w:hAnsi="宋体" w:eastAsia="宋体" w:cs="宋体"/>
          <w:kern w:val="0"/>
          <w:sz w:val="20"/>
          <w:szCs w:val="20"/>
          <w:lang w:eastAsia="zh-CN"/>
        </w:rPr>
        <w:t>利用虚假信息、不实陈述或承诺，误导合作伙伴或消费者，以获取非法利益，损害商业信任。</w:t>
      </w:r>
    </w:p>
    <w:p w14:paraId="1923272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（四）合同违约：</w:t>
      </w:r>
      <w:r>
        <w:rPr>
          <w:rFonts w:hint="eastAsia" w:ascii="宋体" w:hAnsi="宋体" w:eastAsia="宋体" w:cs="宋体"/>
          <w:kern w:val="0"/>
          <w:sz w:val="20"/>
          <w:szCs w:val="20"/>
          <w:lang w:eastAsia="zh-CN"/>
        </w:rPr>
        <w:t>在合同签订后，恶意不履行或不完全履行合同约定义务，或无故拒绝执行合同条款。</w:t>
      </w:r>
    </w:p>
    <w:p w14:paraId="30D846B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（五）不正当竞争：</w:t>
      </w:r>
      <w:r>
        <w:rPr>
          <w:rFonts w:hint="eastAsia" w:ascii="宋体" w:hAnsi="宋体" w:eastAsia="宋体" w:cs="宋体"/>
          <w:kern w:val="0"/>
          <w:sz w:val="20"/>
          <w:szCs w:val="20"/>
          <w:lang w:eastAsia="zh-CN"/>
        </w:rPr>
        <w:t>在招投标过程中采取陪标、串标等不正当手段，提供虚假资料，违背承诺，以获取不正当的商业机会。</w:t>
      </w:r>
    </w:p>
    <w:p w14:paraId="198C8791">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（六）其他违法违规行为：</w:t>
      </w:r>
      <w:r>
        <w:rPr>
          <w:rFonts w:hint="eastAsia" w:ascii="宋体" w:hAnsi="宋体" w:eastAsia="宋体" w:cs="宋体"/>
          <w:kern w:val="0"/>
          <w:sz w:val="20"/>
          <w:szCs w:val="20"/>
          <w:lang w:eastAsia="zh-CN"/>
        </w:rPr>
        <w:t>任何违反国家法律法规、党纪政纪及其他相关规定的行为。</w:t>
      </w:r>
    </w:p>
    <w:p w14:paraId="711DAC3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第二条</w:t>
      </w:r>
      <w:r>
        <w:rPr>
          <w:rFonts w:hint="eastAsia" w:ascii="宋体" w:hAnsi="宋体" w:eastAsia="宋体" w:cs="宋体"/>
          <w:kern w:val="0"/>
          <w:sz w:val="20"/>
          <w:szCs w:val="20"/>
          <w:lang w:eastAsia="zh-CN"/>
        </w:rPr>
        <w:t>甲乙双方及其工作人员在合作期间，必须严格遵守以下廉洁与诚信行为规范：</w:t>
      </w:r>
    </w:p>
    <w:p w14:paraId="1A64581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（一）廉洁行为准则</w:t>
      </w:r>
    </w:p>
    <w:p w14:paraId="1694B83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1.任何一方及其工作人员（包括通过第三方）不得向对方的客户、员工及其家属等利害关系人提供或接受任何形式的物质性或非物质性不正当利益。</w:t>
      </w:r>
    </w:p>
    <w:p w14:paraId="626ABBA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物质性利益包括但不限于回扣、贿赂、私下佣金、借款、实物、现金及其等价物（如购物卡、提货券、有价证券等）、支票、汇票、承兑、财产性权益、旅游、宴请、免费消费等。</w:t>
      </w:r>
    </w:p>
    <w:p w14:paraId="33AD50E1">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非物质性利益涵盖难以用金钱衡量的精神利益及其他不正当好处，如解决住房、迁移户口、工作调动、职务提拔、安排出国留学、享受免费服务等，以及授予荣誉、名誉、称号、资格、地位、特权等。</w:t>
      </w:r>
    </w:p>
    <w:p w14:paraId="1B049A7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2.具体禁止行为</w:t>
      </w:r>
    </w:p>
    <w:p w14:paraId="261AAE6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严禁向对方单位或个人及其家属、特定关系人实施或索取任何形式的商业贿赂。包括但不限于赠送或索要现金、回扣、红包、佣金、好处费、感谢费、有价证券（包括但不限于股票、债券）、股权、金融性产品（如理财产品、基金等）、贵金属（如黄金、白银等）等财物，以及烟酒、土特产、钟表首饰、玉石字画等任何形式的实物。同时，严禁假借赞助费、赠股、报销费用等名义给付对方单位或人员及其家属、特定关系人财物。（2）不得以干股分红、合作投资、高息揽储、资金出借、委托理财、无息借款、挂名领薪、业务承揽、业务合作等任何方式向对方工作人员及其家属、特定关系人进行利益输送或提供特殊便利。此外，不得违规向对方工作人员及其家属、特定关系人出借资金、委托理财等。（3）不得以显著偏离市场价格的方式购买或出售对方工作人员及其家属、特定关系人的车辆、房产、服务或其他任何物品。（4）不得由对方或关联单位承担任何应由本方或个人支付的费用。（5）不得组织或提供任何名义的旅游、宴请、娱乐等活动给对方单位或人员及其家属、特定关系人。（6）严禁徇私舞弊、滥用职权，违反程序进行招投标等活动；不得在招投标过程中提供虚假信息、伪造资质资格，不得联合其他公司进行围标、串标，或采取任何不正当手段损害对方权益。（7）不得以毁灭、伪造证据或串通等方式，帮助对方工作人员掩盖任何违纪违法事实。在双方合作过程中，若一方单位的人员或利害相关人实施上述任何行为，该行为将被视为该单位的行为，并由该单位承担相应的法律责任。若法律规定个人亦需承担相关责任，则依据法律规定进行处理。</w:t>
      </w:r>
    </w:p>
    <w:p w14:paraId="0A4A0617">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（二）不诚信行为</w:t>
      </w:r>
    </w:p>
    <w:p w14:paraId="54D862F7">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1.严禁在合同履行中弄虚作假，如供应伪劣产品、掺杂使假、以次充好、擅自改变规格型号、伪造合格证书等，确保产品质量。</w:t>
      </w:r>
    </w:p>
    <w:p w14:paraId="0C5989E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2.禁止违法转包、分包，以及不均衡供货、不及时供货、虚假计量、虚假签证等行为，维护合同履行的严肃性。</w:t>
      </w:r>
    </w:p>
    <w:p w14:paraId="620D2E06">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3.不得通过盗窃、合同诈骗、价格欺诈、超领冒领、不正当竞争等手段损害对方权益，保障商业环境的公平性。</w:t>
      </w:r>
    </w:p>
    <w:p w14:paraId="2EAB8FB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4.禁止以谋取非正当利益为目的，与对方工作人员进行私下商谈或达成利益默契，确保业务合作的公开透明。</w:t>
      </w:r>
    </w:p>
    <w:p w14:paraId="06B5632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5.严禁利用非法手段打探、窃取或泄露对方商业秘密，尊重并保护对方的商业利益。</w:t>
      </w:r>
    </w:p>
    <w:p w14:paraId="77A8C84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6.不得利用社会关系违规插手和干预对方的正常经营活动，维护商业竞争的公平性。</w:t>
      </w:r>
    </w:p>
    <w:p w14:paraId="2118E74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7.乙方的股东、监事、经理、高级管理人员、合作项目负责人及项目成员系甲方股东、员工、客户或其利害相关人员的，乙方应在合作前以书面方式如实、全面告知甲方。不得存在干扰正常交易的行为。</w:t>
      </w:r>
    </w:p>
    <w:p w14:paraId="536C3B6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8.各方应保证及督促其董事、监事、高级管理人员及员工在合作过程中严格依法依规履行职责、遵守职业纪律和职业道德，遵纪守法、尽职尽责、诚实守信。</w:t>
      </w:r>
    </w:p>
    <w:p w14:paraId="6C22C35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第三条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双方应秉持诚信合作的原则，积极协助和配合对方的监督检查工作。若任何一方发现对方及其工作人员存在第一条、第二条所明确禁止的行为时，应立即在事发后通知对方，并主动向对方的监督检查部门进行投诉或举报，举报人应提供尽可能详细的信息和证据。为便于及时有效处理，甲方特提供以下举报渠道：</w:t>
      </w:r>
    </w:p>
    <w:p w14:paraId="5444090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eastAsia="zh-CN"/>
        </w:rPr>
        <w:drawing>
          <wp:anchor distT="0" distB="0" distL="114300" distR="114300" simplePos="0" relativeHeight="251662336" behindDoc="0" locked="0" layoutInCell="1" allowOverlap="1">
            <wp:simplePos x="0" y="0"/>
            <wp:positionH relativeFrom="column">
              <wp:posOffset>5779770</wp:posOffset>
            </wp:positionH>
            <wp:positionV relativeFrom="paragraph">
              <wp:posOffset>-132080</wp:posOffset>
            </wp:positionV>
            <wp:extent cx="656590" cy="656590"/>
            <wp:effectExtent l="0" t="0" r="381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6590" cy="656590"/>
                    </a:xfrm>
                    <a:prstGeom prst="rect">
                      <a:avLst/>
                    </a:prstGeom>
                    <a:noFill/>
                    <a:ln>
                      <a:noFill/>
                    </a:ln>
                  </pic:spPr>
                </pic:pic>
              </a:graphicData>
            </a:graphic>
          </wp:anchor>
        </w:drawing>
      </w:r>
      <w:r>
        <w:rPr>
          <w:rFonts w:hint="eastAsia" w:ascii="宋体" w:hAnsi="宋体" w:eastAsia="宋体" w:cs="宋体"/>
          <w:kern w:val="0"/>
          <w:sz w:val="20"/>
          <w:szCs w:val="20"/>
          <w:lang w:eastAsia="zh-CN"/>
        </w:rPr>
        <w:t>举报电话：0633-7920333</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lang w:eastAsia="zh-CN"/>
        </w:rPr>
        <w:t>电子邮箱：sgrzjw7920333@sdsteelrz.com</w:t>
      </w:r>
      <w:r>
        <w:rPr>
          <w:rFonts w:hint="eastAsia" w:ascii="宋体" w:hAnsi="宋体" w:cs="宋体"/>
          <w:kern w:val="0"/>
          <w:sz w:val="20"/>
          <w:szCs w:val="20"/>
          <w:lang w:val="en-US" w:eastAsia="zh-CN"/>
        </w:rPr>
        <w:t>;</w:t>
      </w:r>
    </w:p>
    <w:p w14:paraId="2DBB0E8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来信地址：山东省日照市东港区临钢路1号山东钢铁集团日照有限公司纪委，邮编：276800。</w:t>
      </w:r>
    </w:p>
    <w:p w14:paraId="77841F5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山钢股份纪委在线举报平台：使用手机扫描下方二维码，进入页面填写信息进行举报。</w:t>
      </w:r>
    </w:p>
    <w:p w14:paraId="254B0620">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对于乙方而言，无论其是主动还是被动涉及第一条、第二条所述的行为，只要乙方或乙方员工能够主动向甲方提供有效且有价值的信息，甲方将秉持公正、宽容的态度，考虑与乙方继续合作，在一定条件下减免乙方的违约责任，并依规对提供有效信息的相关人员给予相应的奖励。对于此类情形的具体处理，甲方拥有完全的判断权和自主权，乙方对此表示认可，并自愿接受甲方的处理结果。</w:t>
      </w:r>
    </w:p>
    <w:p w14:paraId="33167C8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为确保举报人的安全和积极性，双方监督检查部门应对举报人的身份、举报内容及调查过程严格保密。对于因举报而遭受打击报复的举报人，监督检查部门应提供必要的支持和保护，并协助其维护合法权益。</w:t>
      </w:r>
    </w:p>
    <w:p w14:paraId="00B3B2AB">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第四条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双方的监督检查部门或其授权的人员对本廉洁诚信协议的执行情况进行监督。</w:t>
      </w:r>
    </w:p>
    <w:p w14:paraId="08D9EE04">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第五条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如甲方工作人员违反本协议第二条之规定，甲方将严格依据企业内部相关规章制度对涉事人员进行严肃处理。若其行为构成违纪，将依照相关纪律规定给予党纪处分、政务处分或组织处理。若涉嫌违法犯罪，则依法移交司法机关进行查处。</w:t>
      </w:r>
    </w:p>
    <w:p w14:paraId="2B8CC32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第六条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乙方及乙方工作人员在双方经济业务往来存续期间，应自觉遵守本协议约定，对于违反本协议约定行为的，乙方应承担相应的违约责任，甲方则有权采取以下一项或多项措施：</w:t>
      </w:r>
    </w:p>
    <w:p w14:paraId="5561C98F">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（一）暂停付款</w:t>
      </w:r>
      <w:r>
        <w:rPr>
          <w:rFonts w:hint="eastAsia" w:ascii="宋体" w:hAnsi="宋体" w:eastAsia="宋体" w:cs="宋体"/>
          <w:kern w:val="0"/>
          <w:sz w:val="20"/>
          <w:szCs w:val="20"/>
          <w:lang w:eastAsia="zh-CN"/>
        </w:rPr>
        <w:t>在乙方、乙方工作人员或利害相关人涉嫌侵害甲方利益的调查期间，甲方有权暂停向乙方支付款项。乙方不得以此为由中止合同履行，否则因乙方违约行为给甲方生产经营造成的任何损失，乙方均需承担全额赔偿责任。</w:t>
      </w:r>
    </w:p>
    <w:p w14:paraId="1391EBB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（二）违约金与赔偿</w:t>
      </w:r>
      <w:r>
        <w:rPr>
          <w:rFonts w:hint="eastAsia" w:ascii="宋体" w:hAnsi="宋体" w:eastAsia="宋体" w:cs="宋体"/>
          <w:kern w:val="0"/>
          <w:sz w:val="20"/>
          <w:szCs w:val="20"/>
          <w:lang w:eastAsia="zh-CN"/>
        </w:rPr>
        <w:t>若乙方因不诚信、违规违纪或违法犯罪等行为违反了第一条、第二条约定，需根据本协议约定向甲方支付违约金。本协议中所约定的违约金具有惩罚性质，乙方对此表示完全理解并接受，在任何情况下，乙方均承诺将严格按照本条款的约定全额支付违约金。违约金扣除原则如下：</w:t>
      </w:r>
    </w:p>
    <w:p w14:paraId="600DA23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乙方在所涉及的违约合同中已向甲方支付履约保证金的，甲方有权优先从保证金中扣除违约金；保证金不足部分，甲方有权从应付款中继续扣除。若乙方未支付履约保证金，甲方有权从应付款中直接扣除全部违约金。</w:t>
      </w:r>
    </w:p>
    <w:p w14:paraId="061477F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从履约保证金和甲方应向乙方支付的款项中扣除的违约金总额不足以弥补甲方所受损失的，乙方还需另行赔偿甲方因此遭受的全部经济损失及追偿损失所产生的所有费用。甲方保留通过诉讼等法律手段追偿损失的权利。</w:t>
      </w:r>
    </w:p>
    <w:p w14:paraId="23284F1E">
      <w:pPr>
        <w:keepNext w:val="0"/>
        <w:keepLines w:val="0"/>
        <w:pageBreakBefore w:val="0"/>
        <w:widowControl w:val="0"/>
        <w:kinsoku/>
        <w:wordWrap/>
        <w:overflowPunct/>
        <w:topLinePunct w:val="0"/>
        <w:autoSpaceDE/>
        <w:autoSpaceDN/>
        <w:bidi w:val="0"/>
        <w:adjustRightInd/>
        <w:spacing w:after="0" w:line="280" w:lineRule="exact"/>
        <w:ind w:left="590" w:right="105" w:rightChars="5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1.违约金计算基础</w:t>
      </w:r>
    </w:p>
    <w:p w14:paraId="2D3FE28A">
      <w:pPr>
        <w:keepNext w:val="0"/>
        <w:keepLines w:val="0"/>
        <w:pageBreakBefore w:val="0"/>
        <w:widowControl w:val="0"/>
        <w:kinsoku/>
        <w:wordWrap/>
        <w:overflowPunct/>
        <w:topLinePunct w:val="0"/>
        <w:autoSpaceDE/>
        <w:autoSpaceDN/>
        <w:bidi w:val="0"/>
        <w:adjustRightInd/>
        <w:spacing w:after="0" w:line="280" w:lineRule="exact"/>
        <w:ind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以甲方与乙方之间签订并履行的所涉违规、违纪、违法犯罪等行为业务合同金额总额为计算基础。</w:t>
      </w:r>
    </w:p>
    <w:p w14:paraId="06E29B02">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2.违约金比例</w:t>
      </w:r>
    </w:p>
    <w:p w14:paraId="3E614B28">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（1）经查证属实，乙方行为尚未构成犯罪或未造成甲方工作人员被追究刑事责任的，乙方按照下述方式累计计算并支付违约金:</w:t>
      </w:r>
    </w:p>
    <w:p w14:paraId="358D168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对于合同金额，100万元以下（含100万元）的部分，违约金为10万元（违约金总额高于合同额，以合同额为限）。</w:t>
      </w:r>
    </w:p>
    <w:p w14:paraId="00A6CA9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100万元以上的按照下述比例分段累计计算违约金，具体比例如下。</w:t>
      </w:r>
    </w:p>
    <w:tbl>
      <w:tblPr>
        <w:tblStyle w:val="16"/>
        <w:tblW w:w="4500" w:type="pct"/>
        <w:jc w:val="center"/>
        <w:tblLayout w:type="autofit"/>
        <w:tblCellMar>
          <w:top w:w="0" w:type="dxa"/>
          <w:left w:w="0" w:type="dxa"/>
          <w:bottom w:w="0" w:type="dxa"/>
          <w:right w:w="0" w:type="dxa"/>
        </w:tblCellMar>
      </w:tblPr>
      <w:tblGrid>
        <w:gridCol w:w="6716"/>
        <w:gridCol w:w="3495"/>
      </w:tblGrid>
      <w:tr w14:paraId="4ED74F3E">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2232EE3F">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合</w:t>
            </w:r>
            <w:r>
              <w:rPr>
                <w:rFonts w:hint="eastAsia" w:ascii="宋体" w:hAnsi="宋体" w:eastAsia="宋体" w:cs="宋体"/>
                <w:spacing w:val="-3"/>
                <w:kern w:val="0"/>
                <w:sz w:val="20"/>
                <w:szCs w:val="20"/>
                <w:lang w:eastAsia="zh-CN"/>
              </w:rPr>
              <w:t>同</w:t>
            </w:r>
            <w:r>
              <w:rPr>
                <w:rFonts w:hint="eastAsia" w:ascii="宋体" w:hAnsi="宋体" w:eastAsia="宋体" w:cs="宋体"/>
                <w:kern w:val="0"/>
                <w:sz w:val="20"/>
                <w:szCs w:val="20"/>
                <w:lang w:eastAsia="zh-CN"/>
              </w:rPr>
              <w:t>金额</w:t>
            </w:r>
            <w:r>
              <w:rPr>
                <w:rFonts w:hint="eastAsia" w:ascii="宋体" w:hAnsi="宋体" w:eastAsia="宋体" w:cs="宋体"/>
                <w:spacing w:val="-3"/>
                <w:kern w:val="0"/>
                <w:sz w:val="20"/>
                <w:szCs w:val="20"/>
                <w:lang w:eastAsia="zh-CN"/>
              </w:rPr>
              <w:t>范</w:t>
            </w:r>
            <w:r>
              <w:rPr>
                <w:rFonts w:hint="eastAsia" w:ascii="宋体" w:hAnsi="宋体" w:eastAsia="宋体" w:cs="宋体"/>
                <w:kern w:val="0"/>
                <w:sz w:val="20"/>
                <w:szCs w:val="20"/>
                <w:lang w:eastAsia="zh-CN"/>
              </w:rPr>
              <w:t>围（</w:t>
            </w:r>
            <w:r>
              <w:rPr>
                <w:rFonts w:hint="eastAsia" w:ascii="宋体" w:hAnsi="宋体" w:eastAsia="宋体" w:cs="宋体"/>
                <w:spacing w:val="-3"/>
                <w:kern w:val="0"/>
                <w:sz w:val="20"/>
                <w:szCs w:val="20"/>
                <w:lang w:eastAsia="zh-CN"/>
              </w:rPr>
              <w:t>人</w:t>
            </w:r>
            <w:r>
              <w:rPr>
                <w:rFonts w:hint="eastAsia" w:ascii="宋体" w:hAnsi="宋体" w:eastAsia="宋体" w:cs="宋体"/>
                <w:kern w:val="0"/>
                <w:sz w:val="20"/>
                <w:szCs w:val="20"/>
                <w:lang w:eastAsia="zh-CN"/>
              </w:rPr>
              <w:t>民币）</w:t>
            </w:r>
          </w:p>
        </w:tc>
        <w:tc>
          <w:tcPr>
            <w:tcW w:w="1711" w:type="pct"/>
            <w:tcBorders>
              <w:top w:val="single" w:color="000000" w:sz="2" w:space="0"/>
              <w:left w:val="single" w:color="000000" w:sz="2" w:space="0"/>
              <w:bottom w:val="single" w:color="000000" w:sz="2" w:space="0"/>
              <w:right w:val="single" w:color="000000" w:sz="2" w:space="0"/>
            </w:tcBorders>
            <w:vAlign w:val="center"/>
          </w:tcPr>
          <w:p w14:paraId="4369D9DA">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违</w:t>
            </w:r>
            <w:r>
              <w:rPr>
                <w:rFonts w:hint="eastAsia" w:ascii="宋体" w:hAnsi="宋体" w:eastAsia="宋体" w:cs="宋体"/>
                <w:spacing w:val="-3"/>
                <w:kern w:val="0"/>
                <w:sz w:val="20"/>
                <w:szCs w:val="20"/>
                <w:lang w:eastAsia="zh-CN"/>
              </w:rPr>
              <w:t>约</w:t>
            </w:r>
            <w:r>
              <w:rPr>
                <w:rFonts w:hint="eastAsia" w:ascii="宋体" w:hAnsi="宋体" w:eastAsia="宋体" w:cs="宋体"/>
                <w:kern w:val="0"/>
                <w:sz w:val="20"/>
                <w:szCs w:val="20"/>
                <w:lang w:eastAsia="zh-CN"/>
              </w:rPr>
              <w:t>金比</w:t>
            </w:r>
            <w:r>
              <w:rPr>
                <w:rFonts w:hint="eastAsia" w:ascii="宋体" w:hAnsi="宋体" w:eastAsia="宋体" w:cs="宋体"/>
                <w:spacing w:val="-3"/>
                <w:kern w:val="0"/>
                <w:sz w:val="20"/>
                <w:szCs w:val="20"/>
                <w:lang w:eastAsia="zh-CN"/>
              </w:rPr>
              <w:t>例</w:t>
            </w:r>
            <w:r>
              <w:rPr>
                <w:rFonts w:hint="eastAsia" w:ascii="宋体" w:hAnsi="宋体" w:eastAsia="宋体" w:cs="宋体"/>
                <w:kern w:val="0"/>
                <w:sz w:val="20"/>
                <w:szCs w:val="20"/>
                <w:lang w:eastAsia="zh-CN"/>
              </w:rPr>
              <w:t>（合</w:t>
            </w:r>
            <w:r>
              <w:rPr>
                <w:rFonts w:hint="eastAsia" w:ascii="宋体" w:hAnsi="宋体" w:eastAsia="宋体" w:cs="宋体"/>
                <w:spacing w:val="-3"/>
                <w:kern w:val="0"/>
                <w:sz w:val="20"/>
                <w:szCs w:val="20"/>
                <w:lang w:eastAsia="zh-CN"/>
              </w:rPr>
              <w:t>同</w:t>
            </w:r>
            <w:r>
              <w:rPr>
                <w:rFonts w:hint="eastAsia" w:ascii="宋体" w:hAnsi="宋体" w:eastAsia="宋体" w:cs="宋体"/>
                <w:kern w:val="0"/>
                <w:sz w:val="20"/>
                <w:szCs w:val="20"/>
                <w:lang w:eastAsia="zh-CN"/>
              </w:rPr>
              <w:t>金额</w:t>
            </w:r>
            <w:r>
              <w:rPr>
                <w:rFonts w:hint="eastAsia" w:ascii="宋体" w:hAnsi="宋体" w:eastAsia="宋体" w:cs="宋体"/>
                <w:spacing w:val="-3"/>
                <w:kern w:val="0"/>
                <w:sz w:val="20"/>
                <w:szCs w:val="20"/>
                <w:lang w:eastAsia="zh-CN"/>
              </w:rPr>
              <w:t>的</w:t>
            </w:r>
            <w:r>
              <w:rPr>
                <w:rFonts w:hint="eastAsia" w:ascii="宋体" w:hAnsi="宋体" w:eastAsia="宋体" w:cs="宋体"/>
                <w:w w:val="57"/>
                <w:kern w:val="0"/>
                <w:sz w:val="20"/>
                <w:szCs w:val="20"/>
                <w:lang w:eastAsia="zh-CN"/>
              </w:rPr>
              <w:t>%</w:t>
            </w:r>
            <w:r>
              <w:rPr>
                <w:rFonts w:hint="eastAsia" w:ascii="宋体" w:hAnsi="宋体" w:eastAsia="宋体" w:cs="宋体"/>
                <w:kern w:val="0"/>
                <w:sz w:val="20"/>
                <w:szCs w:val="20"/>
                <w:lang w:eastAsia="zh-CN"/>
              </w:rPr>
              <w:t>）</w:t>
            </w:r>
          </w:p>
        </w:tc>
      </w:tr>
      <w:tr w14:paraId="6536E893">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3507EF91">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0C7E52B0">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5</w:t>
            </w:r>
          </w:p>
        </w:tc>
      </w:tr>
      <w:tr w14:paraId="0F030CE3">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068549EA">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427148CF">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4</w:t>
            </w:r>
          </w:p>
        </w:tc>
      </w:tr>
      <w:tr w14:paraId="453A9E9D">
        <w:tblPrEx>
          <w:tblCellMar>
            <w:top w:w="0" w:type="dxa"/>
            <w:left w:w="0" w:type="dxa"/>
            <w:bottom w:w="0" w:type="dxa"/>
            <w:right w:w="0" w:type="dxa"/>
          </w:tblCellMar>
        </w:tblPrEx>
        <w:trPr>
          <w:trHeight w:val="263"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03121239">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spacing w:val="-2"/>
                <w:w w:val="85"/>
                <w:kern w:val="0"/>
                <w:sz w:val="20"/>
                <w:szCs w:val="20"/>
                <w:lang w:eastAsia="en-US"/>
              </w:rPr>
              <w:t>1</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万元以上至</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万元以下（含</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6751B932">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3</w:t>
            </w:r>
          </w:p>
        </w:tc>
      </w:tr>
      <w:tr w14:paraId="77CC60C6">
        <w:tblPrEx>
          <w:tblCellMar>
            <w:top w:w="0" w:type="dxa"/>
            <w:left w:w="0" w:type="dxa"/>
            <w:bottom w:w="0" w:type="dxa"/>
            <w:right w:w="0" w:type="dxa"/>
          </w:tblCellMar>
        </w:tblPrEx>
        <w:trPr>
          <w:trHeight w:val="267" w:hRule="atLeast"/>
          <w:jc w:val="center"/>
        </w:trPr>
        <w:tc>
          <w:tcPr>
            <w:tcW w:w="3288" w:type="pct"/>
            <w:tcBorders>
              <w:top w:val="single" w:color="000000" w:sz="2" w:space="0"/>
              <w:left w:val="single" w:color="000000" w:sz="2" w:space="0"/>
              <w:bottom w:val="single" w:color="000000" w:sz="2" w:space="0"/>
              <w:right w:val="single" w:color="000000" w:sz="2" w:space="0"/>
            </w:tcBorders>
            <w:vAlign w:val="center"/>
          </w:tcPr>
          <w:p w14:paraId="74E3C9A5">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kern w:val="0"/>
                <w:sz w:val="20"/>
                <w:szCs w:val="20"/>
                <w:lang w:eastAsia="en-US"/>
              </w:rPr>
              <w:t>超过</w:t>
            </w:r>
            <w:r>
              <w:rPr>
                <w:rFonts w:hint="eastAsia" w:ascii="宋体" w:hAnsi="宋体" w:eastAsia="宋体" w:cs="宋体"/>
                <w:spacing w:val="-2"/>
                <w:w w:val="85"/>
                <w:kern w:val="0"/>
                <w:sz w:val="20"/>
                <w:szCs w:val="20"/>
                <w:lang w:eastAsia="en-US"/>
              </w:rPr>
              <w:t>5</w:t>
            </w:r>
            <w:r>
              <w:rPr>
                <w:rFonts w:hint="eastAsia" w:ascii="宋体" w:hAnsi="宋体" w:eastAsia="宋体" w:cs="宋体"/>
                <w:w w:val="85"/>
                <w:kern w:val="0"/>
                <w:sz w:val="20"/>
                <w:szCs w:val="20"/>
                <w:lang w:eastAsia="en-US"/>
              </w:rPr>
              <w:t>000</w:t>
            </w:r>
            <w:r>
              <w:rPr>
                <w:rFonts w:hint="eastAsia" w:ascii="宋体" w:hAnsi="宋体" w:eastAsia="宋体" w:cs="宋体"/>
                <w:kern w:val="0"/>
                <w:sz w:val="20"/>
                <w:szCs w:val="20"/>
                <w:lang w:eastAsia="en-US"/>
              </w:rPr>
              <w:t>万元部分</w:t>
            </w:r>
          </w:p>
        </w:tc>
        <w:tc>
          <w:tcPr>
            <w:tcW w:w="1711" w:type="pct"/>
            <w:tcBorders>
              <w:top w:val="single" w:color="000000" w:sz="2" w:space="0"/>
              <w:left w:val="single" w:color="000000" w:sz="2" w:space="0"/>
              <w:bottom w:val="single" w:color="000000" w:sz="2" w:space="0"/>
              <w:right w:val="single" w:color="000000" w:sz="2" w:space="0"/>
            </w:tcBorders>
            <w:vAlign w:val="center"/>
          </w:tcPr>
          <w:p w14:paraId="61BBAC43">
            <w:pPr>
              <w:keepNext w:val="0"/>
              <w:keepLines w:val="0"/>
              <w:pageBreakBefore w:val="0"/>
              <w:widowControl w:val="0"/>
              <w:kinsoku/>
              <w:wordWrap/>
              <w:overflowPunct/>
              <w:topLinePunct w:val="0"/>
              <w:autoSpaceDE/>
              <w:autoSpaceDN/>
              <w:bidi w:val="0"/>
              <w:adjustRightInd/>
              <w:snapToGrid w:val="0"/>
              <w:spacing w:after="0" w:line="280" w:lineRule="exact"/>
              <w:jc w:val="center"/>
              <w:textAlignment w:val="auto"/>
              <w:rPr>
                <w:rFonts w:hint="eastAsia" w:ascii="宋体" w:hAnsi="宋体" w:eastAsia="宋体" w:cs="宋体"/>
                <w:kern w:val="0"/>
                <w:sz w:val="20"/>
                <w:szCs w:val="20"/>
                <w:lang w:eastAsia="en-US"/>
              </w:rPr>
            </w:pPr>
            <w:r>
              <w:rPr>
                <w:rFonts w:hint="eastAsia" w:ascii="宋体" w:hAnsi="宋体" w:eastAsia="宋体" w:cs="宋体"/>
                <w:w w:val="86"/>
                <w:kern w:val="0"/>
                <w:sz w:val="20"/>
                <w:szCs w:val="20"/>
                <w:lang w:eastAsia="en-US"/>
              </w:rPr>
              <w:t>2</w:t>
            </w:r>
          </w:p>
        </w:tc>
      </w:tr>
    </w:tbl>
    <w:p w14:paraId="66CA439C">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（2）若乙方行为构成犯罪或造成甲方工作人员被追究刑事责任的，在上述违约金比例基础上上调2个百分点。</w:t>
      </w:r>
    </w:p>
    <w:p w14:paraId="7890A5E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3）若乙方承认违约事实并积极配合甲方进行调查和处理，且按要求缴纳违约金，甲方将酌情在违约金计算或执行上给予适当减免。若乙方多次违反本协议约定或怠于承担违约责任，甲方有权将违约金承担比例提高1至3个百分点。</w:t>
      </w:r>
    </w:p>
    <w:p w14:paraId="77016E29">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（三）合同终止与资格取消</w:t>
      </w:r>
    </w:p>
    <w:p w14:paraId="0552062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若乙方违反本协议约定且经查证属实，甲方有权单方面部分或全部终止与乙方的合同，并取消乙方的投标或签约资格。对于情节严重者，甲方有权决定在未来3年内不与乙方及其关联方开展任何新业务合作，并有权将乙方及其关联方列入永久性禁入黑名单。</w:t>
      </w:r>
    </w:p>
    <w:p w14:paraId="36C2620E">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第七条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本协议作为双方业务合作的基础和准则，全面适用于双方在合作期间内所签订或即将签订的所有合同与协议，无论这些合同的具体内容、形式如何，也无论其签订时间的先后，本协议的效力均不受其他任何具体业务合同或协议终止、变更的影响而持续有效。</w:t>
      </w:r>
    </w:p>
    <w:p w14:paraId="20A4C4CD">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自本协议字签字盖章之日起生效，双方此前签订的所有廉洁性协议或条款均予废止，若双方在合作过程中签订的其他合同或协议与本协议在内容、解释或执行上存在任何冲突或不一致之处，均应以本协议的规定为准。</w:t>
      </w:r>
    </w:p>
    <w:p w14:paraId="6C1EAFD5">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0"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如有任何争议，双方应首先通过友好协商解决；协商不成的，任何一方均有权将争议提交至济南市钢城区人民法院诉讼解决。</w:t>
      </w:r>
    </w:p>
    <w:p w14:paraId="3D933AA3">
      <w:pPr>
        <w:keepNext w:val="0"/>
        <w:keepLines w:val="0"/>
        <w:pageBreakBefore w:val="0"/>
        <w:widowControl w:val="0"/>
        <w:kinsoku/>
        <w:wordWrap/>
        <w:overflowPunct/>
        <w:topLinePunct w:val="0"/>
        <w:autoSpaceDE/>
        <w:autoSpaceDN/>
        <w:bidi w:val="0"/>
        <w:adjustRightInd/>
        <w:spacing w:after="0" w:line="280" w:lineRule="exact"/>
        <w:ind w:left="105" w:leftChars="50" w:right="105" w:rightChars="50" w:firstLine="402" w:firstLineChars="200"/>
        <w:jc w:val="left"/>
        <w:textAlignment w:val="auto"/>
        <w:rPr>
          <w:rFonts w:hint="eastAsia" w:ascii="宋体" w:hAnsi="宋体" w:eastAsia="宋体" w:cs="宋体"/>
          <w:kern w:val="0"/>
          <w:sz w:val="20"/>
          <w:szCs w:val="20"/>
          <w:lang w:eastAsia="zh-CN"/>
        </w:rPr>
      </w:pPr>
      <w:r>
        <w:rPr>
          <w:rFonts w:hint="eastAsia" w:ascii="宋体" w:hAnsi="宋体" w:eastAsia="宋体" w:cs="宋体"/>
          <w:b/>
          <w:bCs/>
          <w:kern w:val="0"/>
          <w:sz w:val="20"/>
          <w:szCs w:val="20"/>
          <w:lang w:eastAsia="zh-CN"/>
        </w:rPr>
        <w:t>第八条</w:t>
      </w:r>
      <w:r>
        <w:rPr>
          <w:rFonts w:hint="eastAsia" w:ascii="宋体" w:hAnsi="宋体" w:cs="宋体"/>
          <w:b/>
          <w:bCs/>
          <w:kern w:val="0"/>
          <w:sz w:val="20"/>
          <w:szCs w:val="20"/>
          <w:lang w:val="en-US" w:eastAsia="zh-CN"/>
        </w:rPr>
        <w:t xml:space="preserve"> </w:t>
      </w:r>
      <w:r>
        <w:rPr>
          <w:rFonts w:hint="eastAsia" w:ascii="宋体" w:hAnsi="宋体" w:eastAsia="宋体" w:cs="宋体"/>
          <w:kern w:val="0"/>
          <w:sz w:val="20"/>
          <w:szCs w:val="20"/>
          <w:lang w:eastAsia="zh-CN"/>
        </w:rPr>
        <w:t>本协议</w:t>
      </w:r>
      <w:r>
        <w:rPr>
          <w:rFonts w:hint="eastAsia" w:ascii="宋体" w:hAnsi="宋体" w:cs="宋体"/>
          <w:kern w:val="0"/>
          <w:sz w:val="20"/>
          <w:szCs w:val="20"/>
          <w:lang w:val="en-US" w:eastAsia="zh-CN"/>
        </w:rPr>
        <w:t>壹</w:t>
      </w:r>
      <w:r>
        <w:rPr>
          <w:rFonts w:hint="eastAsia" w:ascii="宋体" w:hAnsi="宋体" w:eastAsia="宋体" w:cs="宋体"/>
          <w:kern w:val="0"/>
          <w:sz w:val="20"/>
          <w:szCs w:val="20"/>
          <w:lang w:eastAsia="zh-CN"/>
        </w:rPr>
        <w:t>式</w:t>
      </w:r>
      <w:r>
        <w:rPr>
          <w:rFonts w:hint="eastAsia" w:ascii="宋体" w:hAnsi="宋体" w:cs="宋体"/>
          <w:kern w:val="0"/>
          <w:sz w:val="20"/>
          <w:szCs w:val="20"/>
          <w:lang w:val="en-US" w:eastAsia="zh-CN"/>
        </w:rPr>
        <w:t>叁</w:t>
      </w:r>
      <w:r>
        <w:rPr>
          <w:rFonts w:hint="eastAsia" w:ascii="宋体" w:hAnsi="宋体" w:eastAsia="宋体" w:cs="宋体"/>
          <w:kern w:val="0"/>
          <w:sz w:val="20"/>
          <w:szCs w:val="20"/>
          <w:lang w:eastAsia="zh-CN"/>
        </w:rPr>
        <w:t>份，甲方执</w:t>
      </w:r>
      <w:r>
        <w:rPr>
          <w:rFonts w:hint="eastAsia" w:ascii="宋体" w:hAnsi="宋体" w:cs="宋体"/>
          <w:kern w:val="0"/>
          <w:sz w:val="20"/>
          <w:szCs w:val="20"/>
          <w:lang w:val="en-US" w:eastAsia="zh-CN"/>
        </w:rPr>
        <w:t>贰</w:t>
      </w:r>
      <w:r>
        <w:rPr>
          <w:rFonts w:hint="eastAsia" w:ascii="宋体" w:hAnsi="宋体" w:eastAsia="宋体" w:cs="宋体"/>
          <w:kern w:val="0"/>
          <w:sz w:val="20"/>
          <w:szCs w:val="20"/>
          <w:lang w:eastAsia="zh-CN"/>
        </w:rPr>
        <w:t>份，乙方执</w:t>
      </w:r>
      <w:r>
        <w:rPr>
          <w:rFonts w:hint="eastAsia" w:ascii="宋体" w:hAnsi="宋体" w:cs="宋体"/>
          <w:kern w:val="0"/>
          <w:sz w:val="20"/>
          <w:szCs w:val="20"/>
          <w:lang w:val="en-US" w:eastAsia="zh-CN"/>
        </w:rPr>
        <w:t>壹</w:t>
      </w:r>
      <w:r>
        <w:rPr>
          <w:rFonts w:hint="eastAsia" w:ascii="宋体" w:hAnsi="宋体" w:eastAsia="宋体" w:cs="宋体"/>
          <w:kern w:val="0"/>
          <w:sz w:val="20"/>
          <w:szCs w:val="20"/>
          <w:lang w:eastAsia="zh-CN"/>
        </w:rPr>
        <w:t>份。</w:t>
      </w:r>
    </w:p>
    <w:tbl>
      <w:tblPr>
        <w:tblStyle w:val="17"/>
        <w:tblW w:w="44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0"/>
        <w:gridCol w:w="2612"/>
        <w:gridCol w:w="1196"/>
        <w:gridCol w:w="1442"/>
        <w:gridCol w:w="2445"/>
        <w:gridCol w:w="1313"/>
      </w:tblGrid>
      <w:tr w14:paraId="3E9A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390" w:type="dxa"/>
            <w:tcBorders>
              <w:bottom w:val="nil"/>
              <w:right w:val="nil"/>
            </w:tcBorders>
            <w:vAlign w:val="center"/>
          </w:tcPr>
          <w:p w14:paraId="57C236A9">
            <w:pPr>
              <w:spacing w:after="0" w:line="240" w:lineRule="auto"/>
              <w:ind w:right="105" w:rightChars="50"/>
              <w:jc w:val="left"/>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lang w:eastAsia="zh-CN"/>
              </w:rPr>
              <w:t>甲方代表：</w:t>
            </w:r>
          </w:p>
        </w:tc>
        <w:tc>
          <w:tcPr>
            <w:tcW w:w="2613" w:type="dxa"/>
            <w:tcBorders>
              <w:left w:val="nil"/>
              <w:bottom w:val="single" w:color="000000" w:sz="4" w:space="0"/>
              <w:right w:val="nil"/>
            </w:tcBorders>
            <w:vAlign w:val="center"/>
          </w:tcPr>
          <w:p w14:paraId="222C8CD8">
            <w:pPr>
              <w:spacing w:after="0" w:line="240" w:lineRule="auto"/>
              <w:ind w:right="105" w:rightChars="50"/>
              <w:jc w:val="left"/>
              <w:rPr>
                <w:rFonts w:hint="eastAsia" w:ascii="宋体" w:hAnsi="宋体" w:eastAsia="宋体" w:cs="宋体"/>
                <w:kern w:val="0"/>
                <w:sz w:val="20"/>
                <w:szCs w:val="20"/>
                <w:lang w:eastAsia="zh-CN"/>
              </w:rPr>
            </w:pPr>
          </w:p>
        </w:tc>
        <w:tc>
          <w:tcPr>
            <w:tcW w:w="1196" w:type="dxa"/>
            <w:tcBorders>
              <w:left w:val="nil"/>
              <w:bottom w:val="nil"/>
              <w:right w:val="double" w:color="auto" w:sz="4" w:space="0"/>
            </w:tcBorders>
            <w:vAlign w:val="center"/>
          </w:tcPr>
          <w:p w14:paraId="5909C1A3">
            <w:pPr>
              <w:spacing w:after="0" w:line="240" w:lineRule="auto"/>
              <w:ind w:right="105" w:rightChars="50"/>
              <w:jc w:val="left"/>
              <w:rPr>
                <w:rFonts w:hint="eastAsia" w:ascii="宋体" w:hAnsi="宋体" w:eastAsia="宋体" w:cs="宋体"/>
                <w:kern w:val="0"/>
                <w:sz w:val="20"/>
                <w:szCs w:val="20"/>
                <w:lang w:eastAsia="zh-CN"/>
              </w:rPr>
            </w:pPr>
          </w:p>
        </w:tc>
        <w:tc>
          <w:tcPr>
            <w:tcW w:w="1442" w:type="dxa"/>
            <w:tcBorders>
              <w:left w:val="double" w:color="auto" w:sz="4" w:space="0"/>
              <w:bottom w:val="nil"/>
              <w:right w:val="nil"/>
            </w:tcBorders>
            <w:vAlign w:val="center"/>
          </w:tcPr>
          <w:p w14:paraId="748EC22B">
            <w:pPr>
              <w:spacing w:after="0" w:line="240" w:lineRule="auto"/>
              <w:ind w:right="105" w:rightChars="50"/>
              <w:jc w:val="left"/>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lang w:eastAsia="zh-CN"/>
              </w:rPr>
              <w:t>乙方代表：</w:t>
            </w:r>
          </w:p>
        </w:tc>
        <w:tc>
          <w:tcPr>
            <w:tcW w:w="2446" w:type="dxa"/>
            <w:tcBorders>
              <w:left w:val="nil"/>
              <w:bottom w:val="single" w:color="000000" w:sz="4" w:space="0"/>
              <w:right w:val="nil"/>
            </w:tcBorders>
            <w:vAlign w:val="center"/>
          </w:tcPr>
          <w:p w14:paraId="58A99C37">
            <w:pPr>
              <w:spacing w:after="0" w:line="240" w:lineRule="auto"/>
              <w:ind w:right="105" w:rightChars="50"/>
              <w:jc w:val="left"/>
              <w:rPr>
                <w:rFonts w:hint="eastAsia" w:ascii="宋体" w:hAnsi="宋体" w:eastAsia="宋体" w:cs="宋体"/>
                <w:kern w:val="0"/>
                <w:sz w:val="20"/>
                <w:szCs w:val="20"/>
                <w:lang w:eastAsia="zh-CN"/>
              </w:rPr>
            </w:pPr>
          </w:p>
        </w:tc>
        <w:tc>
          <w:tcPr>
            <w:tcW w:w="1313" w:type="dxa"/>
            <w:tcBorders>
              <w:left w:val="nil"/>
              <w:bottom w:val="nil"/>
            </w:tcBorders>
            <w:vAlign w:val="center"/>
          </w:tcPr>
          <w:p w14:paraId="6FFE78A5">
            <w:pPr>
              <w:spacing w:after="0" w:line="240" w:lineRule="auto"/>
              <w:ind w:right="105" w:rightChars="50"/>
              <w:jc w:val="left"/>
              <w:rPr>
                <w:rFonts w:hint="eastAsia" w:ascii="宋体" w:hAnsi="宋体" w:eastAsia="宋体" w:cs="宋体"/>
                <w:kern w:val="0"/>
                <w:sz w:val="24"/>
                <w:szCs w:val="24"/>
                <w:lang w:eastAsia="zh-CN"/>
              </w:rPr>
            </w:pPr>
          </w:p>
        </w:tc>
      </w:tr>
      <w:tr w14:paraId="6CD7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4003" w:type="dxa"/>
            <w:gridSpan w:val="2"/>
            <w:tcBorders>
              <w:top w:val="nil"/>
              <w:right w:val="nil"/>
            </w:tcBorders>
          </w:tcPr>
          <w:p w14:paraId="29FDF98B">
            <w:pPr>
              <w:spacing w:after="0" w:line="240" w:lineRule="auto"/>
              <w:ind w:right="105" w:rightChars="50"/>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lang w:eastAsia="zh-CN"/>
              </w:rPr>
              <w:t>甲方单位盖章：</w:t>
            </w:r>
          </w:p>
        </w:tc>
        <w:tc>
          <w:tcPr>
            <w:tcW w:w="1196" w:type="dxa"/>
            <w:tcBorders>
              <w:top w:val="nil"/>
              <w:left w:val="nil"/>
              <w:right w:val="double" w:color="auto" w:sz="4" w:space="0"/>
            </w:tcBorders>
          </w:tcPr>
          <w:p w14:paraId="72900890">
            <w:pPr>
              <w:spacing w:after="0" w:line="240" w:lineRule="auto"/>
              <w:ind w:right="105" w:rightChars="50"/>
              <w:jc w:val="both"/>
              <w:rPr>
                <w:rFonts w:hint="eastAsia" w:ascii="宋体" w:hAnsi="宋体" w:eastAsia="宋体" w:cs="宋体"/>
                <w:kern w:val="0"/>
                <w:sz w:val="20"/>
                <w:szCs w:val="20"/>
                <w:lang w:eastAsia="zh-CN"/>
              </w:rPr>
            </w:pPr>
          </w:p>
        </w:tc>
        <w:tc>
          <w:tcPr>
            <w:tcW w:w="3888" w:type="dxa"/>
            <w:gridSpan w:val="2"/>
            <w:tcBorders>
              <w:top w:val="nil"/>
              <w:left w:val="double" w:color="auto" w:sz="4" w:space="0"/>
              <w:right w:val="nil"/>
            </w:tcBorders>
          </w:tcPr>
          <w:p w14:paraId="5CE4176C">
            <w:pPr>
              <w:spacing w:after="0" w:line="240" w:lineRule="auto"/>
              <w:ind w:right="105" w:rightChars="50"/>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lang w:eastAsia="zh-CN"/>
              </w:rPr>
              <w:t>乙方单位盖章：</w:t>
            </w:r>
          </w:p>
        </w:tc>
        <w:tc>
          <w:tcPr>
            <w:tcW w:w="1313" w:type="dxa"/>
            <w:tcBorders>
              <w:top w:val="nil"/>
              <w:left w:val="nil"/>
            </w:tcBorders>
          </w:tcPr>
          <w:p w14:paraId="2101BFBC">
            <w:pPr>
              <w:spacing w:after="0" w:line="240" w:lineRule="auto"/>
              <w:ind w:right="105" w:rightChars="50"/>
              <w:jc w:val="both"/>
              <w:rPr>
                <w:rFonts w:hint="eastAsia" w:ascii="宋体" w:hAnsi="宋体" w:eastAsia="宋体" w:cs="宋体"/>
                <w:kern w:val="0"/>
                <w:sz w:val="24"/>
                <w:szCs w:val="24"/>
                <w:lang w:eastAsia="zh-CN"/>
              </w:rPr>
            </w:pPr>
          </w:p>
        </w:tc>
      </w:tr>
      <w:tr w14:paraId="4FCC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00" w:type="dxa"/>
            <w:gridSpan w:val="6"/>
          </w:tcPr>
          <w:p w14:paraId="0B8ECD8B">
            <w:pPr>
              <w:spacing w:after="0" w:line="240" w:lineRule="auto"/>
              <w:ind w:right="105" w:rightChars="50"/>
              <w:jc w:val="center"/>
              <w:rPr>
                <w:rFonts w:hint="eastAsia" w:ascii="宋体" w:hAnsi="宋体" w:eastAsia="宋体" w:cs="宋体"/>
                <w:kern w:val="0"/>
                <w:sz w:val="18"/>
                <w:szCs w:val="18"/>
                <w:vertAlign w:val="baseline"/>
                <w:lang w:eastAsia="zh-CN"/>
              </w:rPr>
            </w:pPr>
            <w:r>
              <w:rPr>
                <w:rFonts w:hint="eastAsia" w:ascii="宋体" w:hAnsi="宋体" w:cs="宋体"/>
                <w:kern w:val="0"/>
                <w:sz w:val="20"/>
                <w:szCs w:val="20"/>
                <w:vertAlign w:val="baseline"/>
                <w:lang w:val="en-US" w:eastAsia="zh-CN"/>
              </w:rPr>
              <w:t>_____年_____月______日</w:t>
            </w:r>
          </w:p>
        </w:tc>
      </w:tr>
    </w:tbl>
    <w:p w14:paraId="38E92062">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p>
    <w:p w14:paraId="34CC266E">
      <w:pPr>
        <w:bidi w:val="0"/>
        <w:rPr>
          <w:rFonts w:hint="eastAsia"/>
        </w:rPr>
        <w:sectPr>
          <w:headerReference r:id="rId6" w:type="default"/>
          <w:footerReference r:id="rId7" w:type="default"/>
          <w:pgSz w:w="11906" w:h="16838"/>
          <w:pgMar w:top="283" w:right="283" w:bottom="283" w:left="283" w:header="283" w:footer="283" w:gutter="0"/>
          <w:pgNumType w:fmt="decimal" w:start="1"/>
          <w:cols w:space="720" w:num="1"/>
          <w:docGrid w:type="lines" w:linePitch="312" w:charSpace="0"/>
        </w:sectPr>
      </w:pPr>
    </w:p>
    <w:p w14:paraId="040893DD">
      <w:pPr>
        <w:pStyle w:val="28"/>
        <w:bidi w:val="0"/>
        <w:ind w:left="0" w:leftChars="0" w:firstLine="420" w:firstLineChars="0"/>
        <w:rPr>
          <w:rFonts w:hint="default"/>
          <w:lang w:val="en-US" w:eastAsia="zh-CN"/>
        </w:rPr>
      </w:pPr>
      <w:bookmarkStart w:id="11" w:name="_Ref17640"/>
      <w:r>
        <w:rPr>
          <w:rFonts w:hint="eastAsia"/>
          <w:lang w:val="en-US" w:eastAsia="zh-CN"/>
        </w:rPr>
        <w:t>业务澄清说明</w:t>
      </w:r>
      <w:bookmarkEnd w:id="11"/>
      <w:r>
        <w:rPr>
          <w:rFonts w:hint="eastAsia"/>
          <w:lang w:val="en-US" w:eastAsia="zh-CN"/>
        </w:rPr>
        <w:t>（壹式壹份）</w:t>
      </w:r>
      <w:r>
        <w:rPr>
          <w:rFonts w:hint="eastAsia"/>
          <w:lang w:val="en-US" w:eastAsia="zh-CN"/>
        </w:rPr>
        <mc:AlternateContent>
          <mc:Choice Requires="wps">
            <w:drawing>
              <wp:anchor distT="0" distB="0" distL="114300" distR="114300" simplePos="0" relativeHeight="251661312"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9" name="文本框 39"/>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wps:txbx>
                      <wps:bodyPr wrap="square" upright="1"/>
                    </wps:wsp>
                  </a:graphicData>
                </a:graphic>
              </wp:anchor>
            </w:drawing>
          </mc:Choice>
          <mc:Fallback>
            <w:pict>
              <v:shape id="文本框 39" o:spid="_x0000_s1026" o:spt="202" type="#_x0000_t202" style="position:absolute;left:0pt;margin-left:367.45pt;margin-top:-20.4pt;height:32.1pt;width:153.3pt;z-index:251661312;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KF46grMAQAAhgMAAA4AAABkcnMvZTJvRG9jLnhtbK1T&#10;zY7TMBC+I/EOlu806bLq0q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lteL5ZxcknzX&#10;5c3iJ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oXjqCswBAACGAwAADgAAAAAAAAABACAAAAAo&#10;AQAAZHJzL2Uyb0RvYy54bWxQSwUGAAAAAAYABgBZAQAAZgUAAAAA&#10;">
                <v:fill on="t" focussize="0,0"/>
                <v:stroke on="f"/>
                <v:imagedata o:title=""/>
                <o:lock v:ext="edit" aspectratio="f"/>
                <v:textbo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v:textbox>
              </v:shape>
            </w:pict>
          </mc:Fallback>
        </mc:AlternateContent>
      </w:r>
    </w:p>
    <w:p w14:paraId="5703CF62">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业务澄清说明</w:t>
      </w:r>
    </w:p>
    <w:p w14:paraId="163F7929">
      <w:pPr>
        <w:spacing w:line="560" w:lineRule="exact"/>
        <w:jc w:val="center"/>
        <w:rPr>
          <w:rFonts w:hint="eastAsia" w:ascii="黑体" w:hAnsi="黑体" w:eastAsia="黑体" w:cs="黑体"/>
          <w:kern w:val="0"/>
          <w:sz w:val="32"/>
          <w:szCs w:val="32"/>
        </w:rPr>
      </w:pPr>
    </w:p>
    <w:p w14:paraId="1D70C5E8">
      <w:pPr>
        <w:spacing w:line="360" w:lineRule="auto"/>
        <w:rPr>
          <w:rFonts w:ascii="仿宋_GB2312" w:hAnsi="等线" w:eastAsia="仿宋_GB2312" w:cs="仿宋_GB2312"/>
          <w:sz w:val="30"/>
          <w:szCs w:val="30"/>
        </w:rPr>
      </w:pPr>
    </w:p>
    <w:p w14:paraId="53EA5299">
      <w:pPr>
        <w:tabs>
          <w:tab w:val="left" w:pos="1843"/>
        </w:tabs>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山东钢铁集团日照有限公司：</w:t>
      </w:r>
    </w:p>
    <w:p w14:paraId="38BFED5C">
      <w:pPr>
        <w:tabs>
          <w:tab w:val="left" w:pos="1843"/>
        </w:tabs>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color w:val="FFFFFF"/>
          <w:sz w:val="32"/>
          <w:szCs w:val="32"/>
          <w:u w:val="single" w:color="0070C0"/>
          <w:lang w:val="en-US" w:eastAsia="zh-CN"/>
        </w:rPr>
        <w:t>__________________________</w:t>
      </w:r>
      <w:r>
        <w:rPr>
          <w:rFonts w:hint="eastAsia" w:ascii="宋体" w:hAnsi="宋体" w:eastAsia="宋体" w:cs="宋体"/>
          <w:sz w:val="32"/>
          <w:szCs w:val="32"/>
          <w:u w:val="single" w:color="0070C0"/>
          <w:lang w:eastAsia="zh-CN"/>
        </w:rPr>
        <w:t>有限公司</w:t>
      </w:r>
      <w:r>
        <w:rPr>
          <w:rFonts w:hint="eastAsia" w:ascii="宋体" w:hAnsi="宋体" w:eastAsia="宋体" w:cs="宋体"/>
          <w:sz w:val="32"/>
          <w:szCs w:val="32"/>
        </w:rPr>
        <w:t>（以下称：我司），现存在购买贵公司</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sz w:val="32"/>
          <w:szCs w:val="32"/>
        </w:rPr>
        <w:t>业务，</w:t>
      </w:r>
      <w:r>
        <w:rPr>
          <w:rFonts w:hint="eastAsia" w:ascii="宋体" w:hAnsi="宋体" w:eastAsia="宋体" w:cs="宋体"/>
          <w:sz w:val="32"/>
          <w:szCs w:val="32"/>
          <w:lang w:val="en-US" w:eastAsia="zh-CN"/>
        </w:rPr>
        <w:t>严格管理提货车辆预约权限，</w:t>
      </w:r>
      <w:r>
        <w:rPr>
          <w:rFonts w:hint="eastAsia" w:ascii="宋体" w:hAnsi="宋体" w:eastAsia="宋体" w:cs="宋体"/>
          <w:sz w:val="32"/>
          <w:szCs w:val="32"/>
        </w:rPr>
        <w:t>自提车辆仅用作购买外发</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w:t>
      </w:r>
      <w:r>
        <w:rPr>
          <w:rFonts w:hint="eastAsia" w:ascii="宋体" w:hAnsi="宋体" w:eastAsia="宋体" w:cs="宋体"/>
          <w:sz w:val="32"/>
          <w:szCs w:val="32"/>
        </w:rPr>
        <w:t>使用，在此范围之外出现任何安全、环保</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治安等</w:t>
      </w:r>
      <w:r>
        <w:rPr>
          <w:rFonts w:hint="eastAsia" w:ascii="宋体" w:hAnsi="宋体" w:eastAsia="宋体" w:cs="宋体"/>
          <w:sz w:val="32"/>
          <w:szCs w:val="32"/>
        </w:rPr>
        <w:t>风险或事故</w:t>
      </w:r>
      <w:r>
        <w:rPr>
          <w:rFonts w:hint="eastAsia" w:ascii="宋体" w:hAnsi="宋体" w:eastAsia="宋体" w:cs="宋体"/>
          <w:sz w:val="32"/>
          <w:szCs w:val="32"/>
          <w:lang w:val="en-US" w:eastAsia="zh-CN"/>
        </w:rPr>
        <w:t>的</w:t>
      </w:r>
      <w:r>
        <w:rPr>
          <w:rFonts w:hint="eastAsia" w:ascii="宋体" w:hAnsi="宋体" w:eastAsia="宋体" w:cs="宋体"/>
          <w:sz w:val="32"/>
          <w:szCs w:val="32"/>
        </w:rPr>
        <w:t>，责任均由我司承担，与贵公司无关。</w:t>
      </w:r>
    </w:p>
    <w:p w14:paraId="5C30114D">
      <w:pPr>
        <w:pStyle w:val="27"/>
        <w:bidi w:val="0"/>
        <w:spacing w:line="360" w:lineRule="auto"/>
        <w:rPr>
          <w:rFonts w:hint="default"/>
          <w:lang w:val="en-US" w:eastAsia="zh-CN"/>
        </w:rPr>
      </w:pPr>
    </w:p>
    <w:p w14:paraId="490979D5">
      <w:pPr>
        <w:pStyle w:val="27"/>
        <w:bidi w:val="0"/>
        <w:spacing w:line="360" w:lineRule="auto"/>
        <w:rPr>
          <w:rFonts w:hint="default"/>
          <w:lang w:val="en-US" w:eastAsia="zh-CN"/>
        </w:rPr>
      </w:pPr>
    </w:p>
    <w:p w14:paraId="53BB4924">
      <w:pPr>
        <w:pStyle w:val="27"/>
        <w:bidi w:val="0"/>
        <w:spacing w:line="360" w:lineRule="auto"/>
        <w:jc w:val="center"/>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__________________________有限公司</w:t>
      </w:r>
    </w:p>
    <w:p w14:paraId="5179514B">
      <w:pPr>
        <w:pStyle w:val="27"/>
        <w:bidi w:val="0"/>
        <w:spacing w:line="360" w:lineRule="auto"/>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_____年_____月_____日</w:t>
      </w:r>
    </w:p>
    <w:p w14:paraId="274EF433">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eastAsia" w:ascii="仿宋_GB2312" w:hAnsi="宋体" w:eastAsia="仿宋_GB2312" w:cs="仿宋_GB2312"/>
          <w:kern w:val="0"/>
          <w:sz w:val="32"/>
          <w:szCs w:val="32"/>
          <w:highlight w:val="green"/>
        </w:rPr>
      </w:pPr>
    </w:p>
    <w:p w14:paraId="1972923E">
      <w:pPr>
        <w:rPr>
          <w:rFonts w:hint="default"/>
          <w:lang w:val="en-US" w:eastAsia="zh-CN"/>
        </w:rPr>
      </w:pPr>
    </w:p>
    <w:sectPr>
      <w:headerReference r:id="rId8" w:type="default"/>
      <w:footerReference r:id="rId9" w:type="default"/>
      <w:pgSz w:w="11906" w:h="16838"/>
      <w:pgMar w:top="720" w:right="720" w:bottom="720" w:left="72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CDF">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8493">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2FB">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2F3">
    <w:pPr>
      <w:pStyle w:val="14"/>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7B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E4B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6F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8"/>
      <w:suff w:val="nothing"/>
      <w:lvlText w:val="附件%1 "/>
      <w:lvlJc w:val="left"/>
      <w:pPr>
        <w:tabs>
          <w:tab w:val="left" w:pos="0"/>
        </w:tabs>
        <w:ind w:left="0" w:firstLine="420"/>
      </w:pPr>
      <w:rPr>
        <w:rFonts w:hint="default"/>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C070BB49"/>
    <w:multiLevelType w:val="singleLevel"/>
    <w:tmpl w:val="C070BB49"/>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076B3B74"/>
    <w:multiLevelType w:val="singleLevel"/>
    <w:tmpl w:val="076B3B74"/>
    <w:lvl w:ilvl="0" w:tentative="0">
      <w:start w:val="1"/>
      <w:numFmt w:val="decimal"/>
      <w:lvlText w:val="%1."/>
      <w:lvlJc w:val="left"/>
      <w:pPr>
        <w:ind w:left="425" w:hanging="425"/>
      </w:pPr>
      <w:rPr>
        <w:rFonts w:hint="default"/>
      </w:rPr>
    </w:lvl>
  </w:abstractNum>
  <w:abstractNum w:abstractNumId="6">
    <w:nsid w:val="2256DD64"/>
    <w:multiLevelType w:val="singleLevel"/>
    <w:tmpl w:val="2256DD64"/>
    <w:lvl w:ilvl="0" w:tentative="0">
      <w:start w:val="1"/>
      <w:numFmt w:val="upperLetter"/>
      <w:lvlText w:val="%1."/>
      <w:lvlJc w:val="left"/>
      <w:pPr>
        <w:ind w:left="425" w:hanging="425"/>
      </w:pPr>
      <w:rPr>
        <w:rFonts w:hint="default"/>
      </w:rPr>
    </w:lvl>
  </w:abstractNum>
  <w:abstractNum w:abstractNumId="7">
    <w:nsid w:val="2DB2C57E"/>
    <w:multiLevelType w:val="singleLevel"/>
    <w:tmpl w:val="2DB2C57E"/>
    <w:lvl w:ilvl="0" w:tentative="0">
      <w:start w:val="1"/>
      <w:numFmt w:val="decimal"/>
      <w:lvlText w:val="%1."/>
      <w:lvlJc w:val="left"/>
      <w:pPr>
        <w:ind w:left="425" w:hanging="425"/>
      </w:pPr>
      <w:rPr>
        <w:rFonts w:hint="default"/>
      </w:rPr>
    </w:lvl>
  </w:abstractNum>
  <w:abstractNum w:abstractNumId="8">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069AF32"/>
    <w:multiLevelType w:val="singleLevel"/>
    <w:tmpl w:val="7069AF32"/>
    <w:lvl w:ilvl="0" w:tentative="0">
      <w:start w:val="1"/>
      <w:numFmt w:val="decimal"/>
      <w:lvlText w:val="%1."/>
      <w:lvlJc w:val="left"/>
      <w:pPr>
        <w:ind w:left="425" w:hanging="425"/>
      </w:pPr>
      <w:rPr>
        <w:rFonts w:hint="default"/>
      </w:rPr>
    </w:lvl>
  </w:abstractNum>
  <w:abstractNum w:abstractNumId="10">
    <w:nsid w:val="76D5B4C9"/>
    <w:multiLevelType w:val="singleLevel"/>
    <w:tmpl w:val="76D5B4C9"/>
    <w:lvl w:ilvl="0" w:tentative="0">
      <w:start w:val="1"/>
      <w:numFmt w:val="decimal"/>
      <w:lvlText w:val="%1."/>
      <w:lvlJc w:val="left"/>
      <w:pPr>
        <w:ind w:left="425" w:hanging="425"/>
      </w:pPr>
      <w:rPr>
        <w:rFonts w:hint="default"/>
      </w:rPr>
    </w:lvl>
  </w:abstractNum>
  <w:abstractNum w:abstractNumId="11">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7C643587"/>
    <w:multiLevelType w:val="singleLevel"/>
    <w:tmpl w:val="7C643587"/>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0"/>
  </w:num>
  <w:num w:numId="3">
    <w:abstractNumId w:val="4"/>
  </w:num>
  <w:num w:numId="4">
    <w:abstractNumId w:val="6"/>
  </w:num>
  <w:num w:numId="5">
    <w:abstractNumId w:val="12"/>
  </w:num>
  <w:num w:numId="6">
    <w:abstractNumId w:val="2"/>
  </w:num>
  <w:num w:numId="7">
    <w:abstractNumId w:val="3"/>
  </w:num>
  <w:num w:numId="8">
    <w:abstractNumId w:val="10"/>
  </w:num>
  <w:num w:numId="9">
    <w:abstractNumId w:val="9"/>
  </w:num>
  <w:num w:numId="10">
    <w:abstractNumId w:val="8"/>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5503E"/>
    <w:rsid w:val="00594E36"/>
    <w:rsid w:val="00633295"/>
    <w:rsid w:val="006463CA"/>
    <w:rsid w:val="006A1C5F"/>
    <w:rsid w:val="006F2183"/>
    <w:rsid w:val="007015D0"/>
    <w:rsid w:val="00703C16"/>
    <w:rsid w:val="00782993"/>
    <w:rsid w:val="0079090D"/>
    <w:rsid w:val="007D2128"/>
    <w:rsid w:val="0081426B"/>
    <w:rsid w:val="008246AF"/>
    <w:rsid w:val="00886682"/>
    <w:rsid w:val="009338B7"/>
    <w:rsid w:val="009B4CDD"/>
    <w:rsid w:val="00A26500"/>
    <w:rsid w:val="00A82ED2"/>
    <w:rsid w:val="00AF43D7"/>
    <w:rsid w:val="00B063B7"/>
    <w:rsid w:val="00BA0B66"/>
    <w:rsid w:val="00C57B9A"/>
    <w:rsid w:val="00C741BC"/>
    <w:rsid w:val="00C9444B"/>
    <w:rsid w:val="00CA7B03"/>
    <w:rsid w:val="00CC20FD"/>
    <w:rsid w:val="00D22C01"/>
    <w:rsid w:val="00D563D8"/>
    <w:rsid w:val="00D609B8"/>
    <w:rsid w:val="00D72A68"/>
    <w:rsid w:val="00DA09A6"/>
    <w:rsid w:val="00DC062B"/>
    <w:rsid w:val="00DC37E4"/>
    <w:rsid w:val="00E54AC1"/>
    <w:rsid w:val="00E619A8"/>
    <w:rsid w:val="00EB6833"/>
    <w:rsid w:val="00F25578"/>
    <w:rsid w:val="00F35D25"/>
    <w:rsid w:val="00FD6F38"/>
    <w:rsid w:val="00FF0913"/>
    <w:rsid w:val="012D0D9E"/>
    <w:rsid w:val="015C3B20"/>
    <w:rsid w:val="016E2F6B"/>
    <w:rsid w:val="019B0467"/>
    <w:rsid w:val="01B56817"/>
    <w:rsid w:val="01DA7C98"/>
    <w:rsid w:val="01E0373D"/>
    <w:rsid w:val="025D6005"/>
    <w:rsid w:val="02976E93"/>
    <w:rsid w:val="04454854"/>
    <w:rsid w:val="044F4975"/>
    <w:rsid w:val="04690FF0"/>
    <w:rsid w:val="04A75E09"/>
    <w:rsid w:val="04A80FE6"/>
    <w:rsid w:val="050163DC"/>
    <w:rsid w:val="05E51393"/>
    <w:rsid w:val="05F42B1D"/>
    <w:rsid w:val="067439D1"/>
    <w:rsid w:val="06B47B0B"/>
    <w:rsid w:val="06CD634A"/>
    <w:rsid w:val="07A463F0"/>
    <w:rsid w:val="07E4638E"/>
    <w:rsid w:val="08E43B13"/>
    <w:rsid w:val="09502F56"/>
    <w:rsid w:val="095728DC"/>
    <w:rsid w:val="09691C90"/>
    <w:rsid w:val="09DE66AB"/>
    <w:rsid w:val="0A1E618E"/>
    <w:rsid w:val="0A2D14EA"/>
    <w:rsid w:val="0A794352"/>
    <w:rsid w:val="0A7C0C5C"/>
    <w:rsid w:val="0ACB52B0"/>
    <w:rsid w:val="0B7A42BB"/>
    <w:rsid w:val="0BD75CA7"/>
    <w:rsid w:val="0C4F1380"/>
    <w:rsid w:val="0C7E77DC"/>
    <w:rsid w:val="0C8F3D96"/>
    <w:rsid w:val="0D92073A"/>
    <w:rsid w:val="0DB036D7"/>
    <w:rsid w:val="0E4B7772"/>
    <w:rsid w:val="0E565527"/>
    <w:rsid w:val="0E653000"/>
    <w:rsid w:val="0EAD49A7"/>
    <w:rsid w:val="103B3681"/>
    <w:rsid w:val="10482EA5"/>
    <w:rsid w:val="10E25A06"/>
    <w:rsid w:val="110716A5"/>
    <w:rsid w:val="11417D86"/>
    <w:rsid w:val="11AE6D43"/>
    <w:rsid w:val="11EA7F82"/>
    <w:rsid w:val="120174E4"/>
    <w:rsid w:val="12835B2B"/>
    <w:rsid w:val="12A224B5"/>
    <w:rsid w:val="12A23D01"/>
    <w:rsid w:val="13CA5754"/>
    <w:rsid w:val="14076372"/>
    <w:rsid w:val="1411088D"/>
    <w:rsid w:val="14144435"/>
    <w:rsid w:val="14532906"/>
    <w:rsid w:val="1494463F"/>
    <w:rsid w:val="150C5E59"/>
    <w:rsid w:val="157A53F8"/>
    <w:rsid w:val="16817517"/>
    <w:rsid w:val="16B87983"/>
    <w:rsid w:val="16C9125E"/>
    <w:rsid w:val="179113DD"/>
    <w:rsid w:val="17CD5D45"/>
    <w:rsid w:val="18775734"/>
    <w:rsid w:val="18BF1EA7"/>
    <w:rsid w:val="196802E0"/>
    <w:rsid w:val="19761A5B"/>
    <w:rsid w:val="19992CA5"/>
    <w:rsid w:val="19B33DB9"/>
    <w:rsid w:val="19B843E6"/>
    <w:rsid w:val="19F9645A"/>
    <w:rsid w:val="1A3D79D1"/>
    <w:rsid w:val="1A9739B1"/>
    <w:rsid w:val="1B254510"/>
    <w:rsid w:val="1B304996"/>
    <w:rsid w:val="1B4C5D10"/>
    <w:rsid w:val="1BB903FE"/>
    <w:rsid w:val="1D613930"/>
    <w:rsid w:val="1D8E4BE5"/>
    <w:rsid w:val="1DC835AB"/>
    <w:rsid w:val="1F1B0F38"/>
    <w:rsid w:val="1F470E6A"/>
    <w:rsid w:val="20BA6BC3"/>
    <w:rsid w:val="21696E53"/>
    <w:rsid w:val="22127ADE"/>
    <w:rsid w:val="229117B1"/>
    <w:rsid w:val="230439CF"/>
    <w:rsid w:val="23792EBE"/>
    <w:rsid w:val="23C94A83"/>
    <w:rsid w:val="24B15EB9"/>
    <w:rsid w:val="24CD6279"/>
    <w:rsid w:val="24D90788"/>
    <w:rsid w:val="25040E9B"/>
    <w:rsid w:val="254650AE"/>
    <w:rsid w:val="268F1EB2"/>
    <w:rsid w:val="26AC55F3"/>
    <w:rsid w:val="278D0960"/>
    <w:rsid w:val="27DC0C69"/>
    <w:rsid w:val="28650375"/>
    <w:rsid w:val="292B2AE9"/>
    <w:rsid w:val="298C4DCD"/>
    <w:rsid w:val="2A2D0CE4"/>
    <w:rsid w:val="2A6C359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1CA4B7F"/>
    <w:rsid w:val="32381129"/>
    <w:rsid w:val="324234D5"/>
    <w:rsid w:val="32583F98"/>
    <w:rsid w:val="329D695D"/>
    <w:rsid w:val="32A31D22"/>
    <w:rsid w:val="32E86094"/>
    <w:rsid w:val="33154E93"/>
    <w:rsid w:val="339C7C7F"/>
    <w:rsid w:val="34E73EBF"/>
    <w:rsid w:val="35137533"/>
    <w:rsid w:val="351D2E62"/>
    <w:rsid w:val="35FE6418"/>
    <w:rsid w:val="36161EE1"/>
    <w:rsid w:val="366A6AFE"/>
    <w:rsid w:val="36E33AB1"/>
    <w:rsid w:val="37022ABB"/>
    <w:rsid w:val="37E31DBB"/>
    <w:rsid w:val="38594BF3"/>
    <w:rsid w:val="38B237D8"/>
    <w:rsid w:val="39191D3B"/>
    <w:rsid w:val="39644270"/>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945FB0"/>
    <w:rsid w:val="3EA80D16"/>
    <w:rsid w:val="3EEF6792"/>
    <w:rsid w:val="3F5452C3"/>
    <w:rsid w:val="3F747419"/>
    <w:rsid w:val="3FF17476"/>
    <w:rsid w:val="4041301D"/>
    <w:rsid w:val="405D597D"/>
    <w:rsid w:val="40BC27D8"/>
    <w:rsid w:val="40CF0629"/>
    <w:rsid w:val="416F6D17"/>
    <w:rsid w:val="423563AB"/>
    <w:rsid w:val="42BE526E"/>
    <w:rsid w:val="42C16AB2"/>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7030C5"/>
    <w:rsid w:val="4F934FD5"/>
    <w:rsid w:val="4FA26EED"/>
    <w:rsid w:val="4FEE1EAF"/>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7497BC3"/>
    <w:rsid w:val="57540152"/>
    <w:rsid w:val="57763155"/>
    <w:rsid w:val="58B31BDC"/>
    <w:rsid w:val="590E16AF"/>
    <w:rsid w:val="59242993"/>
    <w:rsid w:val="592B5B5A"/>
    <w:rsid w:val="594C5F04"/>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ECC1563"/>
    <w:rsid w:val="5F245150"/>
    <w:rsid w:val="5FCD5A90"/>
    <w:rsid w:val="5FEF40DB"/>
    <w:rsid w:val="60B77271"/>
    <w:rsid w:val="61062540"/>
    <w:rsid w:val="617578B4"/>
    <w:rsid w:val="61BE331C"/>
    <w:rsid w:val="61EE7503"/>
    <w:rsid w:val="62CB1013"/>
    <w:rsid w:val="6354042C"/>
    <w:rsid w:val="63934232"/>
    <w:rsid w:val="639A288E"/>
    <w:rsid w:val="63A10B6C"/>
    <w:rsid w:val="63D97499"/>
    <w:rsid w:val="6478149E"/>
    <w:rsid w:val="64D91D9A"/>
    <w:rsid w:val="650E5897"/>
    <w:rsid w:val="655D7702"/>
    <w:rsid w:val="65765CA3"/>
    <w:rsid w:val="65865E9F"/>
    <w:rsid w:val="658F729A"/>
    <w:rsid w:val="65A65613"/>
    <w:rsid w:val="65C55FE7"/>
    <w:rsid w:val="66017EFB"/>
    <w:rsid w:val="66C41727"/>
    <w:rsid w:val="66E637B9"/>
    <w:rsid w:val="67390F85"/>
    <w:rsid w:val="678D7B72"/>
    <w:rsid w:val="6861460E"/>
    <w:rsid w:val="68625C1C"/>
    <w:rsid w:val="695F37D3"/>
    <w:rsid w:val="6B0418E7"/>
    <w:rsid w:val="6B0909F6"/>
    <w:rsid w:val="6B14187A"/>
    <w:rsid w:val="6B1B4E4B"/>
    <w:rsid w:val="6B715992"/>
    <w:rsid w:val="6C582222"/>
    <w:rsid w:val="6CC07DFA"/>
    <w:rsid w:val="6CF35827"/>
    <w:rsid w:val="6D955854"/>
    <w:rsid w:val="6DBA3CAB"/>
    <w:rsid w:val="6DEB0AC4"/>
    <w:rsid w:val="6E7E01A9"/>
    <w:rsid w:val="6E924B83"/>
    <w:rsid w:val="6F5A3B4B"/>
    <w:rsid w:val="6F8316A0"/>
    <w:rsid w:val="70626515"/>
    <w:rsid w:val="70703362"/>
    <w:rsid w:val="71127CF1"/>
    <w:rsid w:val="71EA2762"/>
    <w:rsid w:val="7225528D"/>
    <w:rsid w:val="7241309C"/>
    <w:rsid w:val="72473C14"/>
    <w:rsid w:val="72513F19"/>
    <w:rsid w:val="727D69DC"/>
    <w:rsid w:val="72A439A3"/>
    <w:rsid w:val="72C41B46"/>
    <w:rsid w:val="72CD6DFD"/>
    <w:rsid w:val="72D65639"/>
    <w:rsid w:val="73651920"/>
    <w:rsid w:val="739E16B7"/>
    <w:rsid w:val="74153A89"/>
    <w:rsid w:val="74746816"/>
    <w:rsid w:val="757434A6"/>
    <w:rsid w:val="758E7822"/>
    <w:rsid w:val="75BF2B20"/>
    <w:rsid w:val="760B7133"/>
    <w:rsid w:val="761F5C21"/>
    <w:rsid w:val="76746FA2"/>
    <w:rsid w:val="76AE39A1"/>
    <w:rsid w:val="76B02367"/>
    <w:rsid w:val="77106137"/>
    <w:rsid w:val="779535E4"/>
    <w:rsid w:val="78863D8B"/>
    <w:rsid w:val="78BA359E"/>
    <w:rsid w:val="78C64DC1"/>
    <w:rsid w:val="78C728B3"/>
    <w:rsid w:val="793F1560"/>
    <w:rsid w:val="796A3742"/>
    <w:rsid w:val="79E916CD"/>
    <w:rsid w:val="79FE0EE6"/>
    <w:rsid w:val="7A405E3E"/>
    <w:rsid w:val="7A55081F"/>
    <w:rsid w:val="7A82306D"/>
    <w:rsid w:val="7ADA3891"/>
    <w:rsid w:val="7B170231"/>
    <w:rsid w:val="7B3A4D4A"/>
    <w:rsid w:val="7BE95BD1"/>
    <w:rsid w:val="7C560B28"/>
    <w:rsid w:val="7CB26E0B"/>
    <w:rsid w:val="7D2232B3"/>
    <w:rsid w:val="7D4F26BF"/>
    <w:rsid w:val="7DC93DF6"/>
    <w:rsid w:val="7DD82857"/>
    <w:rsid w:val="7E1F0B73"/>
    <w:rsid w:val="7E5302AF"/>
    <w:rsid w:val="7E5F3050"/>
    <w:rsid w:val="7EC26ED1"/>
    <w:rsid w:val="7EEA3C82"/>
    <w:rsid w:val="7F275939"/>
    <w:rsid w:val="7F420A3D"/>
    <w:rsid w:val="7F8029CF"/>
    <w:rsid w:val="7F8D2652"/>
    <w:rsid w:val="7FF62F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
    <w:pPr>
      <w:keepNext/>
      <w:keepLines/>
      <w:numPr>
        <w:ilvl w:val="0"/>
        <w:numId w:val="1"/>
      </w:numPr>
      <w:spacing w:beforeLines="0" w:beforeAutospacing="0" w:afterLines="0" w:afterAutospacing="0"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3"/>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unhideWhenUsed/>
    <w:qFormat/>
    <w:uiPriority w:val="39"/>
    <w:pPr>
      <w:keepNext/>
      <w:keepLines/>
      <w:widowControl/>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unhideWhenUsed/>
    <w:qFormat/>
    <w:uiPriority w:val="99"/>
    <w:rPr>
      <w:color w:val="4600A5"/>
      <w:u w:val="single"/>
    </w:rPr>
  </w:style>
  <w:style w:type="character" w:styleId="21">
    <w:name w:val="Hyperlink"/>
    <w:qFormat/>
    <w:uiPriority w:val="99"/>
    <w:rPr>
      <w:rFonts w:cs="Times New Roman"/>
      <w:color w:val="0000FF"/>
      <w:u w:val="single"/>
    </w:rPr>
  </w:style>
  <w:style w:type="character" w:customStyle="1" w:styleId="22">
    <w:name w:val="标题 1 Char"/>
    <w:link w:val="2"/>
    <w:qFormat/>
    <w:uiPriority w:val="0"/>
    <w:rPr>
      <w:rFonts w:eastAsia="黑体"/>
      <w:kern w:val="44"/>
      <w:sz w:val="32"/>
    </w:rPr>
  </w:style>
  <w:style w:type="character" w:customStyle="1" w:styleId="23">
    <w:name w:val="批注框文本 Char"/>
    <w:link w:val="12"/>
    <w:semiHidden/>
    <w:qFormat/>
    <w:uiPriority w:val="99"/>
    <w:rPr>
      <w:rFonts w:ascii="Calibri" w:hAnsi="Calibri" w:eastAsia="宋体" w:cs="Calibri"/>
      <w:sz w:val="18"/>
      <w:szCs w:val="18"/>
    </w:rPr>
  </w:style>
  <w:style w:type="character" w:customStyle="1" w:styleId="24">
    <w:name w:val="页脚 Char"/>
    <w:link w:val="13"/>
    <w:qFormat/>
    <w:uiPriority w:val="0"/>
    <w:rPr>
      <w:sz w:val="18"/>
      <w:szCs w:val="18"/>
    </w:rPr>
  </w:style>
  <w:style w:type="paragraph" w:customStyle="1" w:styleId="25">
    <w:name w:val="列出段落11"/>
    <w:basedOn w:val="1"/>
    <w:qFormat/>
    <w:uiPriority w:val="34"/>
    <w:pPr>
      <w:ind w:firstLine="420" w:firstLineChars="200"/>
    </w:pPr>
    <w:rPr>
      <w:rFonts w:cs="Times New Roman"/>
      <w:szCs w:val="22"/>
    </w:rPr>
  </w:style>
  <w:style w:type="paragraph" w:customStyle="1" w:styleId="26">
    <w:name w:val="列出段落1"/>
    <w:basedOn w:val="1"/>
    <w:qFormat/>
    <w:uiPriority w:val="0"/>
    <w:pPr>
      <w:ind w:firstLine="420" w:firstLineChars="200"/>
    </w:pPr>
  </w:style>
  <w:style w:type="paragraph" w:customStyle="1" w:styleId="27">
    <w:name w:val="16字号正文仿宋，缩进2"/>
    <w:basedOn w:val="1"/>
    <w:qFormat/>
    <w:uiPriority w:val="0"/>
    <w:pPr>
      <w:spacing w:line="560" w:lineRule="exact"/>
      <w:ind w:firstLine="880" w:firstLineChars="200"/>
      <w:jc w:val="both"/>
    </w:pPr>
    <w:rPr>
      <w:rFonts w:eastAsia="华文仿宋"/>
      <w:sz w:val="32"/>
    </w:rPr>
  </w:style>
  <w:style w:type="paragraph" w:customStyle="1" w:styleId="28">
    <w:name w:val="附件顺序编号"/>
    <w:basedOn w:val="2"/>
    <w:next w:val="1"/>
    <w:link w:val="29"/>
    <w:qFormat/>
    <w:uiPriority w:val="0"/>
    <w:pPr>
      <w:numPr>
        <w:numId w:val="2"/>
      </w:numPr>
      <w:tabs>
        <w:tab w:val="left" w:pos="0"/>
      </w:tabs>
      <w:spacing w:line="560" w:lineRule="exact"/>
      <w:ind w:firstLine="420" w:firstLineChars="0"/>
    </w:pPr>
    <w:rPr>
      <w:rFonts w:hint="eastAsia" w:ascii="黑体" w:hAnsi="黑体" w:cs="Times New Roman"/>
      <w:szCs w:val="24"/>
    </w:rPr>
  </w:style>
  <w:style w:type="character" w:customStyle="1" w:styleId="29">
    <w:name w:val="附件顺序编号 Char"/>
    <w:link w:val="28"/>
    <w:qFormat/>
    <w:uiPriority w:val="0"/>
    <w:rPr>
      <w:rFonts w:hint="eastAsia" w:ascii="黑体" w:hAnsi="黑体" w:eastAsia="黑体" w:cs="Times New Roman"/>
      <w:szCs w:val="24"/>
    </w:rPr>
  </w:style>
  <w:style w:type="paragraph" w:customStyle="1" w:styleId="30">
    <w:name w:val="p0"/>
    <w:basedOn w:val="1"/>
    <w:qFormat/>
    <w:uiPriority w:val="0"/>
    <w:pPr>
      <w:widowControl/>
    </w:pPr>
    <w:rPr>
      <w:kern w:val="0"/>
      <w:szCs w:val="21"/>
    </w:rPr>
  </w:style>
  <w:style w:type="character" w:customStyle="1" w:styleId="31">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emf"/><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9683</Words>
  <Characters>10534</Characters>
  <Lines>11</Lines>
  <Paragraphs>3</Paragraphs>
  <TotalTime>2</TotalTime>
  <ScaleCrop>false</ScaleCrop>
  <LinksUpToDate>false</LinksUpToDate>
  <CharactersWithSpaces>10562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2024-12-03T05:53:00Z</cp:lastPrinted>
  <dcterms:modified xsi:type="dcterms:W3CDTF">2025-09-12T04:05:47Z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A07DC199172F40C895102C6E7B944B79_13</vt:lpwstr>
  </property>
  <property fmtid="{D5CDD505-2E9C-101B-9397-08002B2CF9AE}" pid="4" name="KSOTemplateDocerSaveRecord">
    <vt:lpwstr>eyJoZGlkIjoiZjBkMDU4YzQ5ODQwY2MzNjQ2MDFmNjdkNWNhMDQ4ZWIiLCJ1c2VySWQiOiI1Mjg0NzQzNjkifQ==</vt:lpwstr>
  </property>
</Properties>
</file>