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bCs/>
          <w:sz w:val="44"/>
          <w:szCs w:val="44"/>
        </w:rPr>
      </w:pPr>
    </w:p>
    <w:p>
      <w:pPr>
        <w:spacing w:line="56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山东钢铁集团日照有限公司</w:t>
      </w:r>
    </w:p>
    <w:p>
      <w:pPr>
        <w:spacing w:line="560" w:lineRule="exact"/>
        <w:jc w:val="center"/>
        <w:rPr>
          <w:rFonts w:hint="eastAsia" w:ascii="方正小标宋简体" w:hAnsi="方正小标宋简体" w:eastAsia="方正小标宋简体" w:cs="方正小标宋简体"/>
          <w:bCs/>
          <w:sz w:val="44"/>
          <w:szCs w:val="44"/>
        </w:rPr>
      </w:pPr>
      <w:bookmarkStart w:id="0" w:name="_Hlk203047339"/>
      <w:r>
        <w:rPr>
          <w:rFonts w:hint="eastAsia" w:ascii="方正小标宋简体" w:hAnsi="方正小标宋简体" w:eastAsia="方正小标宋简体" w:cs="方正小标宋简体"/>
          <w:bCs/>
          <w:sz w:val="44"/>
          <w:szCs w:val="44"/>
        </w:rPr>
        <w:t>关于炼钢厂一次除尘灰（2</w:t>
      </w:r>
      <w:r>
        <w:rPr>
          <w:rFonts w:ascii="方正小标宋简体" w:hAnsi="方正小标宋简体" w:eastAsia="方正小标宋简体" w:cs="方正小标宋简体"/>
          <w:bCs/>
          <w:sz w:val="44"/>
          <w:szCs w:val="44"/>
        </w:rPr>
        <w:t>025</w:t>
      </w:r>
      <w:r>
        <w:rPr>
          <w:rFonts w:hint="eastAsia" w:ascii="方正小标宋简体" w:hAnsi="方正小标宋简体" w:eastAsia="方正小标宋简体" w:cs="方正小标宋简体"/>
          <w:bCs/>
          <w:sz w:val="44"/>
          <w:szCs w:val="44"/>
        </w:rPr>
        <w:t>年第</w:t>
      </w:r>
      <w:r>
        <w:rPr>
          <w:rFonts w:hint="eastAsia" w:ascii="方正小标宋简体" w:hAnsi="方正小标宋简体" w:eastAsia="方正小标宋简体" w:cs="方正小标宋简体"/>
          <w:bCs/>
          <w:sz w:val="44"/>
          <w:szCs w:val="44"/>
          <w:lang w:val="en-US" w:eastAsia="zh-CN"/>
        </w:rPr>
        <w:t>十</w:t>
      </w:r>
      <w:r>
        <w:rPr>
          <w:rFonts w:hint="eastAsia" w:ascii="方正小标宋简体" w:hAnsi="方正小标宋简体" w:eastAsia="方正小标宋简体" w:cs="方正小标宋简体"/>
          <w:bCs/>
          <w:sz w:val="44"/>
          <w:szCs w:val="44"/>
        </w:rPr>
        <w:t>批）、</w:t>
      </w:r>
      <w:r>
        <w:rPr>
          <w:rFonts w:hint="eastAsia" w:ascii="方正小标宋简体" w:hAnsi="方正小标宋简体" w:eastAsia="方正小标宋简体" w:cs="方正小标宋简体"/>
          <w:bCs/>
          <w:sz w:val="44"/>
          <w:szCs w:val="44"/>
          <w:lang w:val="en-US" w:eastAsia="zh-CN"/>
        </w:rPr>
        <w:t>炼钢粗灰（2025年第二批）、</w:t>
      </w:r>
      <w:r>
        <w:rPr>
          <w:rFonts w:hint="eastAsia" w:ascii="方正小标宋简体" w:hAnsi="方正小标宋简体" w:eastAsia="方正小标宋简体" w:cs="方正小标宋简体"/>
          <w:bCs/>
          <w:sz w:val="44"/>
          <w:szCs w:val="44"/>
        </w:rPr>
        <w:t>炼铁厂高炉环境灰（202</w:t>
      </w:r>
      <w:r>
        <w:rPr>
          <w:rFonts w:ascii="方正小标宋简体" w:hAnsi="方正小标宋简体" w:eastAsia="方正小标宋简体" w:cs="方正小标宋简体"/>
          <w:bCs/>
          <w:sz w:val="44"/>
          <w:szCs w:val="44"/>
        </w:rPr>
        <w:t>5</w:t>
      </w:r>
      <w:r>
        <w:rPr>
          <w:rFonts w:hint="eastAsia" w:ascii="方正小标宋简体" w:hAnsi="方正小标宋简体" w:eastAsia="方正小标宋简体" w:cs="方正小标宋简体"/>
          <w:bCs/>
          <w:sz w:val="44"/>
          <w:szCs w:val="44"/>
        </w:rPr>
        <w:t>年第十</w:t>
      </w:r>
      <w:r>
        <w:rPr>
          <w:rFonts w:hint="eastAsia" w:ascii="方正小标宋简体" w:hAnsi="方正小标宋简体" w:eastAsia="方正小标宋简体" w:cs="方正小标宋简体"/>
          <w:bCs/>
          <w:sz w:val="44"/>
          <w:szCs w:val="44"/>
          <w:lang w:val="en-US" w:eastAsia="zh-CN"/>
        </w:rPr>
        <w:t>一</w:t>
      </w:r>
      <w:r>
        <w:rPr>
          <w:rFonts w:hint="eastAsia" w:ascii="方正小标宋简体" w:hAnsi="方正小标宋简体" w:eastAsia="方正小标宋简体" w:cs="方正小标宋简体"/>
          <w:bCs/>
          <w:sz w:val="44"/>
          <w:szCs w:val="44"/>
        </w:rPr>
        <w:t>批）竞卖公告</w:t>
      </w:r>
    </w:p>
    <w:bookmarkEnd w:id="0"/>
    <w:p>
      <w:pPr>
        <w:spacing w:line="560" w:lineRule="exact"/>
        <w:rPr>
          <w:rFonts w:hint="eastAsia" w:ascii="方正小标宋简体" w:hAnsi="方正小标宋简体" w:eastAsia="方正小标宋简体" w:cs="方正小标宋简体"/>
          <w:bCs/>
          <w:sz w:val="44"/>
          <w:szCs w:val="44"/>
        </w:rPr>
      </w:pPr>
    </w:p>
    <w:p>
      <w:pPr>
        <w:pStyle w:val="20"/>
        <w:spacing w:line="560" w:lineRule="exact"/>
        <w:ind w:firstLine="64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山东钢铁集团日照有限公司现组织对炼钢厂一次除尘灰（2</w:t>
      </w:r>
      <w:r>
        <w:rPr>
          <w:rFonts w:ascii="仿宋_GB2312" w:hAnsi="宋体" w:eastAsia="仿宋_GB2312" w:cs="仿宋_GB2312"/>
          <w:kern w:val="0"/>
          <w:sz w:val="32"/>
          <w:szCs w:val="32"/>
        </w:rPr>
        <w:t>025</w:t>
      </w:r>
      <w:r>
        <w:rPr>
          <w:rFonts w:hint="eastAsia" w:ascii="仿宋_GB2312" w:hAnsi="宋体" w:eastAsia="仿宋_GB2312" w:cs="仿宋_GB2312"/>
          <w:kern w:val="0"/>
          <w:sz w:val="32"/>
          <w:szCs w:val="32"/>
        </w:rPr>
        <w:t>年第</w:t>
      </w:r>
      <w:r>
        <w:rPr>
          <w:rFonts w:hint="eastAsia" w:ascii="仿宋_GB2312" w:hAnsi="宋体" w:eastAsia="仿宋_GB2312" w:cs="仿宋_GB2312"/>
          <w:kern w:val="0"/>
          <w:sz w:val="32"/>
          <w:szCs w:val="32"/>
          <w:lang w:val="en-US" w:eastAsia="zh-CN"/>
        </w:rPr>
        <w:t>十</w:t>
      </w:r>
      <w:r>
        <w:rPr>
          <w:rFonts w:hint="eastAsia" w:ascii="仿宋_GB2312" w:hAnsi="宋体" w:eastAsia="仿宋_GB2312" w:cs="仿宋_GB2312"/>
          <w:kern w:val="0"/>
          <w:sz w:val="32"/>
          <w:szCs w:val="32"/>
        </w:rPr>
        <w:t>批）、</w:t>
      </w:r>
      <w:r>
        <w:rPr>
          <w:rFonts w:hint="eastAsia" w:ascii="仿宋_GB2312" w:hAnsi="宋体" w:eastAsia="仿宋_GB2312" w:cs="仿宋_GB2312"/>
          <w:kern w:val="0"/>
          <w:sz w:val="32"/>
          <w:szCs w:val="32"/>
          <w:lang w:val="en-US" w:eastAsia="zh-CN"/>
        </w:rPr>
        <w:t>炼钢粗灰（2025年第二批）、</w:t>
      </w:r>
      <w:r>
        <w:rPr>
          <w:rFonts w:hint="eastAsia" w:ascii="仿宋_GB2312" w:hAnsi="宋体" w:eastAsia="仿宋_GB2312" w:cs="仿宋_GB2312"/>
          <w:kern w:val="0"/>
          <w:sz w:val="32"/>
          <w:szCs w:val="32"/>
        </w:rPr>
        <w:t>炼铁厂高炉环境灰（202</w:t>
      </w:r>
      <w:r>
        <w:rPr>
          <w:rFonts w:ascii="仿宋_GB2312" w:hAnsi="宋体" w:eastAsia="仿宋_GB2312" w:cs="仿宋_GB2312"/>
          <w:kern w:val="0"/>
          <w:sz w:val="32"/>
          <w:szCs w:val="32"/>
        </w:rPr>
        <w:t>5</w:t>
      </w:r>
      <w:r>
        <w:rPr>
          <w:rFonts w:hint="eastAsia" w:ascii="仿宋_GB2312" w:hAnsi="宋体" w:eastAsia="仿宋_GB2312" w:cs="仿宋_GB2312"/>
          <w:kern w:val="0"/>
          <w:sz w:val="32"/>
          <w:szCs w:val="32"/>
        </w:rPr>
        <w:t>年第十</w:t>
      </w:r>
      <w:r>
        <w:rPr>
          <w:rFonts w:hint="eastAsia" w:ascii="仿宋_GB2312" w:hAnsi="宋体" w:eastAsia="仿宋_GB2312" w:cs="仿宋_GB2312"/>
          <w:kern w:val="0"/>
          <w:sz w:val="32"/>
          <w:szCs w:val="32"/>
          <w:lang w:val="en-US" w:eastAsia="zh-CN"/>
        </w:rPr>
        <w:t>一</w:t>
      </w:r>
      <w:r>
        <w:rPr>
          <w:rFonts w:hint="eastAsia" w:ascii="仿宋_GB2312" w:hAnsi="宋体" w:eastAsia="仿宋_GB2312" w:cs="仿宋_GB2312"/>
          <w:kern w:val="0"/>
          <w:sz w:val="32"/>
          <w:szCs w:val="32"/>
        </w:rPr>
        <w:t>批）资源进行公开销售，相关事项公告如下：</w:t>
      </w:r>
    </w:p>
    <w:p>
      <w:pPr>
        <w:pStyle w:val="14"/>
        <w:spacing w:line="560" w:lineRule="exact"/>
        <w:ind w:firstLine="627" w:firstLineChars="196"/>
        <w:rPr>
          <w:rFonts w:hint="eastAsia" w:ascii="黑体" w:hAnsi="黑体" w:eastAsia="黑体" w:cs="仿宋_GB2312"/>
          <w:sz w:val="32"/>
          <w:szCs w:val="32"/>
        </w:rPr>
      </w:pPr>
      <w:r>
        <w:rPr>
          <w:rFonts w:hint="eastAsia" w:ascii="黑体" w:hAnsi="黑体" w:eastAsia="黑体" w:cs="仿宋_GB2312"/>
          <w:sz w:val="32"/>
          <w:szCs w:val="32"/>
        </w:rPr>
        <w:t>一、</w:t>
      </w:r>
      <w:r>
        <w:rPr>
          <w:rFonts w:hint="eastAsia" w:ascii="黑体" w:hAnsi="黑体" w:eastAsia="黑体" w:cs="黑体"/>
          <w:b/>
          <w:bCs/>
          <w:sz w:val="32"/>
          <w:szCs w:val="32"/>
        </w:rPr>
        <w:t>本次公开销售的销售主体及</w:t>
      </w:r>
      <w:r>
        <w:rPr>
          <w:rFonts w:hint="eastAsia" w:ascii="黑体" w:hAnsi="黑体" w:eastAsia="黑体" w:cs="黑体"/>
          <w:b/>
          <w:bCs/>
          <w:kern w:val="0"/>
          <w:sz w:val="32"/>
          <w:szCs w:val="32"/>
        </w:rPr>
        <w:t>资源</w:t>
      </w:r>
    </w:p>
    <w:p>
      <w:pPr>
        <w:spacing w:line="560" w:lineRule="exact"/>
        <w:ind w:firstLine="640" w:firstLineChars="200"/>
        <w:rPr>
          <w:rFonts w:hint="eastAsia" w:ascii="仿宋_GB2312" w:hAnsi="宋体" w:eastAsia="仿宋_GB2312" w:cs="仿宋_GB2312"/>
          <w:kern w:val="0"/>
          <w:sz w:val="32"/>
          <w:szCs w:val="32"/>
        </w:rPr>
      </w:pPr>
      <w:r>
        <w:rPr>
          <w:rFonts w:hint="eastAsia" w:ascii="仿宋_GB2312" w:hAnsi="等线" w:eastAsia="仿宋_GB2312" w:cs="仿宋_GB2312"/>
          <w:sz w:val="32"/>
          <w:szCs w:val="32"/>
        </w:rPr>
        <w:t>1.</w:t>
      </w:r>
      <w:r>
        <w:rPr>
          <w:rFonts w:hint="eastAsia" w:ascii="仿宋_GB2312" w:hAnsi="宋体" w:eastAsia="仿宋_GB2312" w:cs="仿宋_GB2312"/>
          <w:kern w:val="0"/>
          <w:sz w:val="32"/>
          <w:szCs w:val="32"/>
        </w:rPr>
        <w:t>销售主体：山东钢铁集团日照有限公司，账户信息如下：</w:t>
      </w:r>
    </w:p>
    <w:p>
      <w:pPr>
        <w:spacing w:line="560" w:lineRule="exact"/>
        <w:ind w:firstLine="960" w:firstLineChars="100"/>
        <w:rPr>
          <w:rFonts w:hint="eastAsia" w:ascii="仿宋_GB2312" w:hAnsi="宋体" w:eastAsia="仿宋_GB2312" w:cs="仿宋_GB2312"/>
          <w:kern w:val="0"/>
          <w:sz w:val="32"/>
          <w:szCs w:val="32"/>
        </w:rPr>
      </w:pPr>
      <w:r>
        <w:rPr>
          <w:rFonts w:hint="eastAsia" w:ascii="仿宋_GB2312" w:hAnsi="宋体" w:eastAsia="仿宋_GB2312" w:cs="仿宋_GB2312"/>
          <w:spacing w:val="320"/>
          <w:kern w:val="0"/>
          <w:sz w:val="32"/>
          <w:szCs w:val="32"/>
          <w:fitText w:val="1280" w:id="-1002776062"/>
        </w:rPr>
        <w:t>户</w:t>
      </w:r>
      <w:r>
        <w:rPr>
          <w:rFonts w:hint="eastAsia" w:ascii="仿宋_GB2312" w:hAnsi="宋体" w:eastAsia="仿宋_GB2312" w:cs="仿宋_GB2312"/>
          <w:spacing w:val="0"/>
          <w:kern w:val="0"/>
          <w:sz w:val="32"/>
          <w:szCs w:val="32"/>
          <w:fitText w:val="1280" w:id="-1002776062"/>
        </w:rPr>
        <w:t>名</w:t>
      </w:r>
      <w:r>
        <w:rPr>
          <w:rFonts w:hint="eastAsia" w:ascii="仿宋_GB2312" w:hAnsi="宋体" w:eastAsia="仿宋_GB2312" w:cs="仿宋_GB2312"/>
          <w:kern w:val="0"/>
          <w:sz w:val="32"/>
          <w:szCs w:val="32"/>
        </w:rPr>
        <w:t>：山东钢铁集团日照有限公司</w:t>
      </w:r>
    </w:p>
    <w:p>
      <w:pPr>
        <w:spacing w:line="560" w:lineRule="exact"/>
        <w:ind w:firstLine="960" w:firstLineChars="200"/>
        <w:rPr>
          <w:rFonts w:hint="eastAsia" w:ascii="仿宋_GB2312" w:hAnsi="宋体" w:eastAsia="仿宋_GB2312" w:cs="仿宋_GB2312"/>
          <w:kern w:val="0"/>
          <w:sz w:val="32"/>
          <w:szCs w:val="32"/>
        </w:rPr>
      </w:pPr>
      <w:r>
        <w:rPr>
          <w:rFonts w:hint="eastAsia" w:ascii="仿宋_GB2312" w:hAnsi="宋体" w:eastAsia="仿宋_GB2312" w:cs="仿宋_GB2312"/>
          <w:spacing w:val="80"/>
          <w:kern w:val="0"/>
          <w:sz w:val="32"/>
          <w:szCs w:val="32"/>
          <w:fitText w:val="1280" w:id="-1002776063"/>
        </w:rPr>
        <w:t>开户</w:t>
      </w:r>
      <w:r>
        <w:rPr>
          <w:rFonts w:hint="eastAsia" w:ascii="仿宋_GB2312" w:hAnsi="宋体" w:eastAsia="仿宋_GB2312" w:cs="仿宋_GB2312"/>
          <w:spacing w:val="0"/>
          <w:kern w:val="0"/>
          <w:sz w:val="32"/>
          <w:szCs w:val="32"/>
          <w:fitText w:val="1280" w:id="-1002776063"/>
        </w:rPr>
        <w:t>行</w:t>
      </w:r>
      <w:r>
        <w:rPr>
          <w:rFonts w:hint="eastAsia" w:ascii="仿宋_GB2312" w:hAnsi="宋体" w:eastAsia="仿宋_GB2312" w:cs="仿宋_GB2312"/>
          <w:kern w:val="0"/>
          <w:sz w:val="32"/>
          <w:szCs w:val="32"/>
        </w:rPr>
        <w:t>：中国农业银行日照岚山支行</w:t>
      </w:r>
    </w:p>
    <w:p>
      <w:pPr>
        <w:spacing w:line="560" w:lineRule="exact"/>
        <w:ind w:firstLine="960" w:firstLineChars="100"/>
        <w:rPr>
          <w:rFonts w:hint="eastAsia" w:ascii="仿宋_GB2312" w:hAnsi="宋体" w:eastAsia="仿宋_GB2312" w:cs="仿宋_GB2312"/>
          <w:kern w:val="0"/>
          <w:sz w:val="32"/>
          <w:szCs w:val="32"/>
        </w:rPr>
      </w:pPr>
      <w:r>
        <w:rPr>
          <w:rFonts w:hint="eastAsia" w:ascii="仿宋_GB2312" w:hAnsi="宋体" w:eastAsia="仿宋_GB2312" w:cs="仿宋_GB2312"/>
          <w:spacing w:val="320"/>
          <w:kern w:val="0"/>
          <w:sz w:val="32"/>
          <w:szCs w:val="32"/>
          <w:fitText w:val="1280" w:id="-1002776064"/>
        </w:rPr>
        <w:t>账</w:t>
      </w:r>
      <w:r>
        <w:rPr>
          <w:rFonts w:hint="eastAsia" w:ascii="仿宋_GB2312" w:hAnsi="宋体" w:eastAsia="仿宋_GB2312" w:cs="仿宋_GB2312"/>
          <w:spacing w:val="0"/>
          <w:kern w:val="0"/>
          <w:sz w:val="32"/>
          <w:szCs w:val="32"/>
          <w:fitText w:val="1280" w:id="-1002776064"/>
        </w:rPr>
        <w:t>号</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15641101040014582</w:t>
      </w:r>
    </w:p>
    <w:p>
      <w:pPr>
        <w:spacing w:line="560" w:lineRule="exact"/>
        <w:ind w:firstLine="320" w:firstLineChars="1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 xml:space="preserve"> </w:t>
      </w:r>
      <w:r>
        <w:rPr>
          <w:rFonts w:ascii="仿宋_GB2312" w:hAnsi="宋体" w:eastAsia="仿宋_GB2312" w:cs="仿宋_GB2312"/>
          <w:kern w:val="0"/>
          <w:sz w:val="32"/>
          <w:szCs w:val="32"/>
        </w:rPr>
        <w:t xml:space="preserve">   </w:t>
      </w:r>
      <w:r>
        <w:rPr>
          <w:rFonts w:hint="eastAsia" w:ascii="仿宋_GB2312" w:hAnsi="宋体" w:eastAsia="仿宋_GB2312" w:cs="仿宋_GB2312"/>
          <w:spacing w:val="320"/>
          <w:kern w:val="0"/>
          <w:sz w:val="32"/>
          <w:szCs w:val="32"/>
          <w:fitText w:val="1280" w:id="-1002776064"/>
        </w:rPr>
        <w:t>行</w:t>
      </w:r>
      <w:r>
        <w:rPr>
          <w:rFonts w:hint="eastAsia" w:ascii="仿宋_GB2312" w:hAnsi="宋体" w:eastAsia="仿宋_GB2312" w:cs="仿宋_GB2312"/>
          <w:spacing w:val="0"/>
          <w:kern w:val="0"/>
          <w:sz w:val="32"/>
          <w:szCs w:val="32"/>
          <w:fitText w:val="1280" w:id="-1002776064"/>
        </w:rPr>
        <w:t>号</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103473264114</w:t>
      </w:r>
    </w:p>
    <w:p>
      <w:pPr>
        <w:spacing w:line="560" w:lineRule="exact"/>
        <w:ind w:firstLine="640" w:firstLineChars="200"/>
        <w:rPr>
          <w:rFonts w:hint="eastAsia" w:ascii="仿宋_GB2312" w:hAnsi="等线" w:eastAsia="仿宋_GB2312" w:cs="仿宋_GB2312"/>
          <w:sz w:val="32"/>
          <w:szCs w:val="32"/>
        </w:rPr>
      </w:pPr>
      <w:r>
        <w:rPr>
          <w:rFonts w:hint="eastAsia" w:ascii="仿宋_GB2312" w:hAnsi="等线" w:eastAsia="仿宋_GB2312" w:cs="仿宋_GB2312"/>
          <w:sz w:val="32"/>
          <w:szCs w:val="32"/>
        </w:rPr>
        <w:t>2.资源：日照公司炼钢厂生产过程产生的一次除尘灰、</w:t>
      </w:r>
      <w:r>
        <w:rPr>
          <w:rFonts w:hint="eastAsia" w:ascii="仿宋_GB2312" w:hAnsi="等线" w:eastAsia="仿宋_GB2312" w:cs="仿宋_GB2312"/>
          <w:sz w:val="32"/>
          <w:szCs w:val="32"/>
          <w:lang w:val="en-US" w:eastAsia="zh-CN"/>
        </w:rPr>
        <w:t>炼钢粗灰、</w:t>
      </w:r>
      <w:bookmarkStart w:id="4" w:name="_GoBack"/>
      <w:bookmarkEnd w:id="4"/>
      <w:r>
        <w:rPr>
          <w:rFonts w:hint="eastAsia" w:ascii="仿宋_GB2312" w:hAnsi="等线" w:eastAsia="仿宋_GB2312" w:cs="仿宋_GB2312"/>
          <w:sz w:val="32"/>
          <w:szCs w:val="32"/>
        </w:rPr>
        <w:t>炼铁厂高炉环境灰，交付量以实际过磅重量为准。</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834"/>
        <w:gridCol w:w="3544"/>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451"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包号</w:t>
            </w:r>
          </w:p>
        </w:tc>
        <w:tc>
          <w:tcPr>
            <w:tcW w:w="1564"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名称</w:t>
            </w:r>
          </w:p>
        </w:tc>
        <w:tc>
          <w:tcPr>
            <w:tcW w:w="1956"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预估数量</w:t>
            </w:r>
          </w:p>
        </w:tc>
        <w:tc>
          <w:tcPr>
            <w:tcW w:w="1029"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产生单位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451"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A</w:t>
            </w:r>
          </w:p>
        </w:tc>
        <w:tc>
          <w:tcPr>
            <w:tcW w:w="1564"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一次除尘灰</w:t>
            </w:r>
          </w:p>
        </w:tc>
        <w:tc>
          <w:tcPr>
            <w:tcW w:w="1956"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约</w:t>
            </w:r>
            <w:r>
              <w:rPr>
                <w:rFonts w:ascii="宋体" w:hAnsi="宋体" w:cs="仿宋_GB2312"/>
                <w:sz w:val="24"/>
              </w:rPr>
              <w:t>9900</w:t>
            </w:r>
            <w:r>
              <w:rPr>
                <w:rFonts w:hint="eastAsia" w:ascii="宋体" w:hAnsi="宋体" w:cs="仿宋_GB2312"/>
                <w:sz w:val="24"/>
              </w:rPr>
              <w:t>吨</w:t>
            </w:r>
          </w:p>
        </w:tc>
        <w:tc>
          <w:tcPr>
            <w:tcW w:w="1029"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炼钢厂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451"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B</w:t>
            </w:r>
          </w:p>
        </w:tc>
        <w:tc>
          <w:tcPr>
            <w:tcW w:w="1564"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高炉环境灰</w:t>
            </w:r>
          </w:p>
        </w:tc>
        <w:tc>
          <w:tcPr>
            <w:tcW w:w="1956"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约</w:t>
            </w:r>
            <w:r>
              <w:rPr>
                <w:rFonts w:ascii="宋体" w:hAnsi="宋体" w:cs="仿宋_GB2312"/>
                <w:sz w:val="24"/>
              </w:rPr>
              <w:t>1200</w:t>
            </w:r>
            <w:r>
              <w:rPr>
                <w:rFonts w:hint="eastAsia" w:ascii="宋体" w:hAnsi="宋体" w:cs="仿宋_GB2312"/>
                <w:sz w:val="24"/>
              </w:rPr>
              <w:t>吨</w:t>
            </w:r>
          </w:p>
        </w:tc>
        <w:tc>
          <w:tcPr>
            <w:tcW w:w="1029" w:type="pct"/>
            <w:vAlign w:val="center"/>
          </w:tcPr>
          <w:p>
            <w:pPr>
              <w:adjustRightInd w:val="0"/>
              <w:snapToGrid w:val="0"/>
              <w:jc w:val="center"/>
              <w:rPr>
                <w:rFonts w:hint="eastAsia" w:ascii="宋体" w:hAnsi="宋体" w:cs="仿宋_GB2312"/>
                <w:sz w:val="24"/>
              </w:rPr>
            </w:pPr>
            <w:r>
              <w:rPr>
                <w:rFonts w:hint="eastAsia" w:ascii="宋体" w:hAnsi="宋体" w:cs="仿宋_GB2312"/>
                <w:sz w:val="24"/>
              </w:rPr>
              <w:t>炼铁厂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451" w:type="pct"/>
            <w:vAlign w:val="center"/>
          </w:tcPr>
          <w:p>
            <w:pPr>
              <w:adjustRightInd w:val="0"/>
              <w:snapToGrid w:val="0"/>
              <w:jc w:val="center"/>
              <w:rPr>
                <w:rFonts w:hint="eastAsia" w:ascii="宋体" w:hAnsi="宋体" w:eastAsia="宋体" w:cs="仿宋_GB2312"/>
                <w:sz w:val="24"/>
                <w:lang w:val="en-US" w:eastAsia="zh-CN"/>
              </w:rPr>
            </w:pPr>
            <w:r>
              <w:rPr>
                <w:rFonts w:hint="eastAsia" w:ascii="宋体" w:hAnsi="宋体" w:cs="仿宋_GB2312"/>
                <w:sz w:val="24"/>
                <w:lang w:val="en-US" w:eastAsia="zh-CN"/>
              </w:rPr>
              <w:t>C</w:t>
            </w:r>
          </w:p>
        </w:tc>
        <w:tc>
          <w:tcPr>
            <w:tcW w:w="1564" w:type="pct"/>
            <w:vAlign w:val="center"/>
          </w:tcPr>
          <w:p>
            <w:pPr>
              <w:adjustRightInd w:val="0"/>
              <w:snapToGrid w:val="0"/>
              <w:jc w:val="center"/>
              <w:rPr>
                <w:rFonts w:hint="default" w:ascii="宋体" w:hAnsi="宋体" w:eastAsia="宋体" w:cs="仿宋_GB2312"/>
                <w:sz w:val="24"/>
                <w:lang w:val="en-US" w:eastAsia="zh-CN"/>
              </w:rPr>
            </w:pPr>
            <w:r>
              <w:rPr>
                <w:rFonts w:hint="eastAsia" w:ascii="宋体" w:hAnsi="宋体" w:cs="仿宋_GB2312"/>
                <w:sz w:val="24"/>
                <w:lang w:val="en-US" w:eastAsia="zh-CN"/>
              </w:rPr>
              <w:t>炼钢粗灰</w:t>
            </w:r>
          </w:p>
        </w:tc>
        <w:tc>
          <w:tcPr>
            <w:tcW w:w="1956" w:type="pct"/>
            <w:vAlign w:val="center"/>
          </w:tcPr>
          <w:p>
            <w:pPr>
              <w:adjustRightInd w:val="0"/>
              <w:snapToGrid w:val="0"/>
              <w:jc w:val="center"/>
              <w:rPr>
                <w:rFonts w:hint="default" w:ascii="宋体" w:hAnsi="宋体" w:eastAsia="宋体" w:cs="仿宋_GB2312"/>
                <w:sz w:val="24"/>
                <w:lang w:val="en-US" w:eastAsia="zh-CN"/>
              </w:rPr>
            </w:pPr>
            <w:r>
              <w:rPr>
                <w:rFonts w:hint="eastAsia" w:ascii="宋体" w:hAnsi="宋体" w:cs="仿宋_GB2312"/>
                <w:sz w:val="24"/>
                <w:lang w:val="en-US" w:eastAsia="zh-CN"/>
              </w:rPr>
              <w:t>约3000</w:t>
            </w:r>
          </w:p>
        </w:tc>
        <w:tc>
          <w:tcPr>
            <w:tcW w:w="1029" w:type="pct"/>
            <w:vAlign w:val="center"/>
          </w:tcPr>
          <w:p>
            <w:pPr>
              <w:adjustRightInd w:val="0"/>
              <w:snapToGrid w:val="0"/>
              <w:jc w:val="center"/>
              <w:rPr>
                <w:rFonts w:hint="eastAsia" w:ascii="宋体" w:hAnsi="宋体" w:eastAsia="宋体" w:cs="仿宋_GB2312"/>
                <w:sz w:val="24"/>
                <w:lang w:val="en-US" w:eastAsia="zh-CN"/>
              </w:rPr>
            </w:pPr>
            <w:r>
              <w:rPr>
                <w:rFonts w:hint="eastAsia" w:ascii="宋体" w:hAnsi="宋体" w:cs="仿宋_GB2312"/>
                <w:sz w:val="24"/>
                <w:lang w:val="en-US" w:eastAsia="zh-CN"/>
              </w:rPr>
              <w:t>炼钢厂</w:t>
            </w:r>
          </w:p>
        </w:tc>
      </w:tr>
    </w:tbl>
    <w:p>
      <w:pPr>
        <w:spacing w:line="560" w:lineRule="exact"/>
        <w:rPr>
          <w:rFonts w:hint="eastAsia" w:ascii="仿宋_GB2312" w:hAnsi="仿宋" w:eastAsia="仿宋_GB2312" w:cs="宋体"/>
          <w:b/>
          <w:kern w:val="0"/>
          <w:sz w:val="30"/>
          <w:szCs w:val="30"/>
        </w:rPr>
      </w:pPr>
      <w:r>
        <w:rPr>
          <w:rFonts w:hint="eastAsia" w:ascii="仿宋_GB2312" w:hAnsi="仿宋" w:eastAsia="仿宋_GB2312" w:cs="宋体"/>
          <w:b/>
          <w:kern w:val="0"/>
          <w:sz w:val="30"/>
          <w:szCs w:val="30"/>
        </w:rPr>
        <w:t>以上货品发运期限为，202</w:t>
      </w:r>
      <w:r>
        <w:rPr>
          <w:rFonts w:ascii="仿宋_GB2312" w:hAnsi="仿宋" w:eastAsia="仿宋_GB2312" w:cs="宋体"/>
          <w:b/>
          <w:kern w:val="0"/>
          <w:sz w:val="30"/>
          <w:szCs w:val="30"/>
        </w:rPr>
        <w:t>5</w:t>
      </w:r>
      <w:r>
        <w:rPr>
          <w:rFonts w:hint="eastAsia" w:ascii="仿宋_GB2312" w:hAnsi="仿宋" w:eastAsia="仿宋_GB2312" w:cs="宋体"/>
          <w:b/>
          <w:kern w:val="0"/>
          <w:sz w:val="30"/>
          <w:szCs w:val="30"/>
        </w:rPr>
        <w:t>年</w:t>
      </w:r>
      <w:r>
        <w:rPr>
          <w:rFonts w:hint="eastAsia" w:ascii="仿宋_GB2312" w:hAnsi="仿宋" w:eastAsia="仿宋_GB2312" w:cs="宋体"/>
          <w:b/>
          <w:kern w:val="0"/>
          <w:sz w:val="30"/>
          <w:szCs w:val="30"/>
          <w:lang w:val="en-US" w:eastAsia="zh-CN"/>
        </w:rPr>
        <w:t>10</w:t>
      </w:r>
      <w:r>
        <w:rPr>
          <w:rFonts w:hint="eastAsia" w:ascii="仿宋_GB2312" w:hAnsi="仿宋" w:eastAsia="仿宋_GB2312" w:cs="宋体"/>
          <w:b/>
          <w:kern w:val="0"/>
          <w:sz w:val="30"/>
          <w:szCs w:val="30"/>
        </w:rPr>
        <w:t>月</w:t>
      </w:r>
      <w:r>
        <w:rPr>
          <w:rFonts w:ascii="仿宋_GB2312" w:hAnsi="仿宋" w:eastAsia="仿宋_GB2312" w:cs="宋体"/>
          <w:b/>
          <w:kern w:val="0"/>
          <w:sz w:val="30"/>
          <w:szCs w:val="30"/>
        </w:rPr>
        <w:t>26</w:t>
      </w:r>
      <w:r>
        <w:rPr>
          <w:rFonts w:hint="eastAsia" w:ascii="仿宋_GB2312" w:hAnsi="仿宋" w:eastAsia="仿宋_GB2312" w:cs="宋体"/>
          <w:b/>
          <w:kern w:val="0"/>
          <w:sz w:val="30"/>
          <w:szCs w:val="30"/>
        </w:rPr>
        <w:t>日至202</w:t>
      </w:r>
      <w:r>
        <w:rPr>
          <w:rFonts w:ascii="仿宋_GB2312" w:hAnsi="仿宋" w:eastAsia="仿宋_GB2312" w:cs="宋体"/>
          <w:b/>
          <w:kern w:val="0"/>
          <w:sz w:val="30"/>
          <w:szCs w:val="30"/>
        </w:rPr>
        <w:t>5</w:t>
      </w:r>
      <w:r>
        <w:rPr>
          <w:rFonts w:hint="eastAsia" w:ascii="仿宋_GB2312" w:hAnsi="仿宋" w:eastAsia="仿宋_GB2312" w:cs="宋体"/>
          <w:b/>
          <w:kern w:val="0"/>
          <w:sz w:val="30"/>
          <w:szCs w:val="30"/>
        </w:rPr>
        <w:t>年1</w:t>
      </w:r>
      <w:r>
        <w:rPr>
          <w:rFonts w:hint="eastAsia" w:ascii="仿宋_GB2312" w:hAnsi="仿宋" w:eastAsia="仿宋_GB2312" w:cs="宋体"/>
          <w:b/>
          <w:kern w:val="0"/>
          <w:sz w:val="30"/>
          <w:szCs w:val="30"/>
          <w:lang w:val="en-US" w:eastAsia="zh-CN"/>
        </w:rPr>
        <w:t>1</w:t>
      </w:r>
      <w:r>
        <w:rPr>
          <w:rFonts w:hint="eastAsia" w:ascii="仿宋_GB2312" w:hAnsi="仿宋" w:eastAsia="仿宋_GB2312" w:cs="宋体"/>
          <w:b/>
          <w:kern w:val="0"/>
          <w:sz w:val="30"/>
          <w:szCs w:val="30"/>
        </w:rPr>
        <w:t>月25日。</w:t>
      </w:r>
    </w:p>
    <w:p>
      <w:pPr>
        <w:spacing w:line="560" w:lineRule="exact"/>
        <w:rPr>
          <w:rFonts w:hint="eastAsia" w:ascii="仿宋_GB2312" w:hAnsi="仿宋" w:eastAsia="仿宋_GB2312" w:cs="宋体"/>
          <w:b/>
          <w:kern w:val="0"/>
          <w:sz w:val="30"/>
          <w:szCs w:val="30"/>
        </w:rPr>
      </w:pPr>
      <w:r>
        <w:rPr>
          <w:rFonts w:hint="eastAsia" w:ascii="仿宋_GB2312" w:hAnsi="仿宋" w:eastAsia="仿宋_GB2312" w:cs="宋体"/>
          <w:b/>
          <w:kern w:val="0"/>
          <w:sz w:val="30"/>
          <w:szCs w:val="30"/>
        </w:rPr>
        <w:t>以卖方的实际出库的指标、重量为准，不接受由于预估数量差异或货品指标差异而产生的任何异议。</w:t>
      </w:r>
    </w:p>
    <w:p>
      <w:pPr>
        <w:spacing w:line="560" w:lineRule="exact"/>
        <w:ind w:firstLine="640" w:firstLineChars="200"/>
        <w:rPr>
          <w:rFonts w:hint="eastAsia" w:ascii="仿宋_GB2312" w:hAnsi="等线" w:eastAsia="仿宋_GB2312" w:cs="仿宋_GB2312"/>
          <w:sz w:val="32"/>
          <w:szCs w:val="32"/>
        </w:rPr>
      </w:pPr>
      <w:r>
        <w:rPr>
          <w:rFonts w:hint="eastAsia" w:ascii="仿宋_GB2312" w:hAnsi="等线" w:eastAsia="仿宋_GB2312" w:cs="仿宋_GB2312"/>
          <w:sz w:val="32"/>
          <w:szCs w:val="32"/>
        </w:rPr>
        <w:t>2025年9月对一批次环境灰样品进行分析，主要成分如下：</w:t>
      </w:r>
    </w:p>
    <w:tbl>
      <w:tblPr>
        <w:tblStyle w:val="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95"/>
        <w:gridCol w:w="1598"/>
        <w:gridCol w:w="1455"/>
        <w:gridCol w:w="2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exact"/>
          <w:jc w:val="center"/>
        </w:trPr>
        <w:tc>
          <w:tcPr>
            <w:tcW w:w="1763"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样品名称</w:t>
            </w:r>
          </w:p>
        </w:tc>
        <w:tc>
          <w:tcPr>
            <w:tcW w:w="882"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TFe（%）</w:t>
            </w:r>
          </w:p>
        </w:tc>
        <w:tc>
          <w:tcPr>
            <w:tcW w:w="803"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Zn（%）</w:t>
            </w:r>
          </w:p>
        </w:tc>
        <w:tc>
          <w:tcPr>
            <w:tcW w:w="1552" w:type="pct"/>
            <w:vAlign w:val="center"/>
          </w:tcPr>
          <w:p>
            <w:pPr>
              <w:jc w:val="center"/>
              <w:rPr>
                <w:rFonts w:hint="eastAsia" w:ascii="宋体" w:hAnsi="宋体" w:cs="仿宋_GB2312"/>
                <w:sz w:val="24"/>
                <w:szCs w:val="24"/>
              </w:rPr>
            </w:pPr>
            <w:r>
              <w:rPr>
                <w:rFonts w:hint="eastAsia" w:ascii="宋体" w:hAnsi="宋体" w:cs="仿宋_GB2312"/>
                <w:sz w:val="24"/>
                <w:szCs w:val="24"/>
              </w:rPr>
              <w:t>产生量（</w:t>
            </w:r>
            <w:r>
              <w:rPr>
                <w:rFonts w:ascii="宋体" w:hAnsi="宋体" w:cs="仿宋_GB2312"/>
                <w:sz w:val="24"/>
                <w:szCs w:val="24"/>
              </w:rPr>
              <w:t>吨</w:t>
            </w:r>
            <w:r>
              <w:rPr>
                <w:rFonts w:hint="eastAsia" w:ascii="宋体" w:hAnsi="宋体" w:cs="仿宋_GB2312"/>
                <w:sz w:val="24"/>
                <w:szCs w:val="24"/>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exact"/>
          <w:jc w:val="center"/>
        </w:trPr>
        <w:tc>
          <w:tcPr>
            <w:tcW w:w="1763"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炼钢一次除尘灰</w:t>
            </w:r>
          </w:p>
        </w:tc>
        <w:tc>
          <w:tcPr>
            <w:tcW w:w="882"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62.55</w:t>
            </w:r>
          </w:p>
        </w:tc>
        <w:tc>
          <w:tcPr>
            <w:tcW w:w="803"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1</w:t>
            </w:r>
            <w:r>
              <w:rPr>
                <w:rFonts w:ascii="宋体" w:hAnsi="宋体" w:cs="仿宋_GB2312"/>
                <w:sz w:val="24"/>
                <w:szCs w:val="24"/>
              </w:rPr>
              <w:t>.</w:t>
            </w:r>
            <w:r>
              <w:rPr>
                <w:rFonts w:hint="eastAsia" w:ascii="宋体" w:hAnsi="宋体" w:cs="仿宋_GB2312"/>
                <w:sz w:val="24"/>
                <w:szCs w:val="24"/>
              </w:rPr>
              <w:t>264</w:t>
            </w:r>
          </w:p>
        </w:tc>
        <w:tc>
          <w:tcPr>
            <w:tcW w:w="1552" w:type="pct"/>
            <w:vAlign w:val="center"/>
          </w:tcPr>
          <w:p>
            <w:pPr>
              <w:jc w:val="center"/>
              <w:rPr>
                <w:rFonts w:hint="eastAsia" w:ascii="宋体" w:hAnsi="宋体" w:cs="仿宋_GB2312"/>
                <w:sz w:val="24"/>
                <w:szCs w:val="24"/>
              </w:rPr>
            </w:pPr>
            <w:r>
              <w:rPr>
                <w:rFonts w:hint="eastAsia" w:ascii="宋体" w:hAnsi="宋体" w:cs="仿宋_GB2312"/>
                <w:sz w:val="24"/>
                <w:szCs w:val="24"/>
              </w:rPr>
              <w:t>约</w:t>
            </w:r>
            <w:r>
              <w:rPr>
                <w:rFonts w:ascii="宋体" w:hAnsi="宋体" w:cs="仿宋_GB2312"/>
                <w:sz w:val="24"/>
                <w:szCs w:val="24"/>
              </w:rPr>
              <w:t>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exact"/>
          <w:jc w:val="center"/>
        </w:trPr>
        <w:tc>
          <w:tcPr>
            <w:tcW w:w="1763" w:type="pct"/>
            <w:vAlign w:val="center"/>
          </w:tcPr>
          <w:p>
            <w:pPr>
              <w:spacing w:line="360" w:lineRule="auto"/>
              <w:jc w:val="center"/>
              <w:rPr>
                <w:rFonts w:hint="default" w:ascii="宋体" w:hAnsi="宋体" w:eastAsia="宋体" w:cs="仿宋_GB2312"/>
                <w:sz w:val="24"/>
                <w:szCs w:val="24"/>
                <w:lang w:val="en-US" w:eastAsia="zh-CN"/>
              </w:rPr>
            </w:pPr>
            <w:r>
              <w:rPr>
                <w:rFonts w:hint="eastAsia" w:ascii="宋体" w:hAnsi="宋体" w:cs="仿宋_GB2312"/>
                <w:sz w:val="24"/>
                <w:szCs w:val="24"/>
                <w:lang w:val="en-US" w:eastAsia="zh-CN"/>
              </w:rPr>
              <w:t>炼钢粗灰</w:t>
            </w:r>
          </w:p>
        </w:tc>
        <w:tc>
          <w:tcPr>
            <w:tcW w:w="882" w:type="pct"/>
            <w:vAlign w:val="center"/>
          </w:tcPr>
          <w:p>
            <w:pPr>
              <w:spacing w:line="360" w:lineRule="auto"/>
              <w:jc w:val="center"/>
              <w:rPr>
                <w:rFonts w:hint="default" w:ascii="宋体" w:hAnsi="宋体" w:eastAsia="宋体" w:cs="仿宋_GB2312"/>
                <w:sz w:val="24"/>
                <w:szCs w:val="24"/>
                <w:lang w:val="en-US" w:eastAsia="zh-CN"/>
              </w:rPr>
            </w:pPr>
            <w:r>
              <w:rPr>
                <w:rFonts w:hint="eastAsia" w:ascii="宋体" w:hAnsi="宋体" w:cs="仿宋_GB2312"/>
                <w:sz w:val="24"/>
                <w:szCs w:val="24"/>
                <w:lang w:val="en-US" w:eastAsia="zh-CN"/>
              </w:rPr>
              <w:t>63.04</w:t>
            </w:r>
          </w:p>
        </w:tc>
        <w:tc>
          <w:tcPr>
            <w:tcW w:w="803" w:type="pct"/>
            <w:vAlign w:val="center"/>
          </w:tcPr>
          <w:p>
            <w:pPr>
              <w:spacing w:line="360" w:lineRule="auto"/>
              <w:jc w:val="center"/>
              <w:rPr>
                <w:rFonts w:hint="default" w:ascii="宋体" w:hAnsi="宋体" w:eastAsia="宋体" w:cs="仿宋_GB2312"/>
                <w:sz w:val="24"/>
                <w:szCs w:val="24"/>
                <w:lang w:val="en-US" w:eastAsia="zh-CN"/>
              </w:rPr>
            </w:pPr>
            <w:r>
              <w:rPr>
                <w:rFonts w:hint="eastAsia" w:ascii="宋体" w:hAnsi="宋体" w:cs="仿宋_GB2312"/>
                <w:sz w:val="24"/>
                <w:szCs w:val="24"/>
                <w:lang w:val="en-US" w:eastAsia="zh-CN"/>
              </w:rPr>
              <w:t>0.1512</w:t>
            </w:r>
          </w:p>
        </w:tc>
        <w:tc>
          <w:tcPr>
            <w:tcW w:w="1552" w:type="pct"/>
            <w:vAlign w:val="center"/>
          </w:tcPr>
          <w:p>
            <w:pPr>
              <w:jc w:val="center"/>
              <w:rPr>
                <w:rFonts w:hint="default" w:ascii="宋体" w:hAnsi="宋体" w:eastAsia="宋体" w:cs="仿宋_GB2312"/>
                <w:sz w:val="24"/>
                <w:szCs w:val="24"/>
                <w:lang w:val="en-US" w:eastAsia="zh-CN"/>
              </w:rPr>
            </w:pPr>
            <w:r>
              <w:rPr>
                <w:rFonts w:hint="eastAsia" w:ascii="宋体" w:hAnsi="宋体" w:cs="仿宋_GB2312"/>
                <w:sz w:val="24"/>
                <w:szCs w:val="24"/>
                <w:lang w:val="en-US" w:eastAsia="zh-CN"/>
              </w:rPr>
              <w:t>约100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763"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1#高炉环境除尘灰</w:t>
            </w:r>
          </w:p>
        </w:tc>
        <w:tc>
          <w:tcPr>
            <w:tcW w:w="882"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51.80</w:t>
            </w:r>
          </w:p>
        </w:tc>
        <w:tc>
          <w:tcPr>
            <w:tcW w:w="803"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1.246</w:t>
            </w:r>
          </w:p>
        </w:tc>
        <w:tc>
          <w:tcPr>
            <w:tcW w:w="1552" w:type="pct"/>
            <w:vMerge w:val="restar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约40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763"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2#高炉环境除尘灰</w:t>
            </w:r>
          </w:p>
        </w:tc>
        <w:tc>
          <w:tcPr>
            <w:tcW w:w="882"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67.50</w:t>
            </w:r>
          </w:p>
        </w:tc>
        <w:tc>
          <w:tcPr>
            <w:tcW w:w="803" w:type="pct"/>
            <w:vAlign w:val="center"/>
          </w:tcPr>
          <w:p>
            <w:pPr>
              <w:spacing w:line="360" w:lineRule="auto"/>
              <w:jc w:val="center"/>
              <w:rPr>
                <w:rFonts w:hint="eastAsia" w:ascii="宋体" w:hAnsi="宋体" w:cs="仿宋_GB2312"/>
                <w:sz w:val="24"/>
                <w:szCs w:val="24"/>
              </w:rPr>
            </w:pPr>
            <w:r>
              <w:rPr>
                <w:rFonts w:hint="eastAsia" w:ascii="宋体" w:hAnsi="宋体" w:cs="仿宋_GB2312"/>
                <w:sz w:val="24"/>
                <w:szCs w:val="24"/>
              </w:rPr>
              <w:t>0.521</w:t>
            </w:r>
          </w:p>
        </w:tc>
        <w:tc>
          <w:tcPr>
            <w:tcW w:w="1552" w:type="pct"/>
            <w:vMerge w:val="continue"/>
            <w:vAlign w:val="center"/>
          </w:tcPr>
          <w:p>
            <w:pPr>
              <w:spacing w:line="360" w:lineRule="auto"/>
              <w:jc w:val="center"/>
              <w:rPr>
                <w:rFonts w:hint="eastAsia" w:ascii="宋体" w:hAnsi="宋体" w:cs="仿宋_GB2312"/>
                <w:sz w:val="24"/>
                <w:szCs w:val="24"/>
              </w:rPr>
            </w:pPr>
          </w:p>
        </w:tc>
      </w:tr>
    </w:tbl>
    <w:p>
      <w:pPr>
        <w:spacing w:line="560" w:lineRule="exact"/>
        <w:ind w:firstLine="640" w:firstLineChars="200"/>
        <w:rPr>
          <w:rFonts w:hint="eastAsia" w:ascii="黑体" w:hAnsi="黑体" w:eastAsia="黑体" w:cs="宋体"/>
          <w:kern w:val="0"/>
          <w:sz w:val="32"/>
          <w:szCs w:val="32"/>
        </w:rPr>
      </w:pPr>
      <w:r>
        <w:rPr>
          <w:rFonts w:hint="eastAsia" w:ascii="黑体" w:hAnsi="黑体" w:eastAsia="黑体" w:cs="宋体"/>
          <w:kern w:val="0"/>
          <w:sz w:val="32"/>
          <w:szCs w:val="32"/>
        </w:rPr>
        <w:t>二、销售方式</w:t>
      </w:r>
    </w:p>
    <w:p>
      <w:pPr>
        <w:wordWrap w:val="0"/>
        <w:spacing w:line="560" w:lineRule="exact"/>
        <w:ind w:firstLine="640" w:firstLineChars="2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本批资源明细发布到</w:t>
      </w:r>
      <w:r>
        <w:rPr>
          <w:rFonts w:hint="eastAsia" w:ascii="仿宋_GB2312" w:hAnsi="仿宋" w:eastAsia="仿宋_GB2312"/>
          <w:b/>
          <w:bCs/>
          <w:sz w:val="32"/>
          <w:szCs w:val="32"/>
        </w:rPr>
        <w:t>山钢集团招标采购与拍卖管理信息平台</w:t>
      </w:r>
      <w:r>
        <w:rPr>
          <w:rFonts w:hint="eastAsia" w:ascii="仿宋_GB2312" w:hAnsi="仿宋" w:eastAsia="仿宋_GB2312"/>
          <w:sz w:val="32"/>
          <w:szCs w:val="32"/>
        </w:rPr>
        <w:t>（</w:t>
      </w:r>
      <w:r>
        <w:rPr>
          <w:rFonts w:ascii="仿宋_GB2312" w:hAnsi="仿宋" w:eastAsia="仿宋_GB2312"/>
          <w:sz w:val="32"/>
          <w:szCs w:val="32"/>
        </w:rPr>
        <w:t>https://bams.shansteelgroup.com/public/Default.aspx</w:t>
      </w:r>
      <w:r>
        <w:rPr>
          <w:rFonts w:hint="eastAsia" w:ascii="仿宋_GB2312" w:hAnsi="仿宋" w:eastAsia="仿宋_GB2312"/>
          <w:sz w:val="32"/>
          <w:szCs w:val="32"/>
        </w:rPr>
        <w:t>）与</w:t>
      </w:r>
      <w:r>
        <w:rPr>
          <w:rFonts w:hint="eastAsia" w:ascii="仿宋_GB2312" w:hAnsi="宋体" w:eastAsia="仿宋_GB2312" w:cs="仿宋_GB2312"/>
          <w:b/>
          <w:bCs/>
          <w:kern w:val="0"/>
          <w:sz w:val="32"/>
          <w:szCs w:val="32"/>
        </w:rPr>
        <w:t>欧冶循环宝平台</w:t>
      </w:r>
      <w:r>
        <w:rPr>
          <w:rFonts w:hint="eastAsia" w:ascii="仿宋_GB2312" w:hAnsi="宋体" w:eastAsia="仿宋_GB2312" w:cs="仿宋_GB2312"/>
          <w:kern w:val="0"/>
          <w:sz w:val="32"/>
          <w:szCs w:val="32"/>
        </w:rPr>
        <w:t>（https://www.ouyeel.com/search-ng/exchange/home）进行公告。</w:t>
      </w:r>
    </w:p>
    <w:p>
      <w:pPr>
        <w:spacing w:line="560" w:lineRule="exact"/>
        <w:ind w:firstLine="643" w:firstLineChars="200"/>
        <w:rPr>
          <w:rFonts w:hint="eastAsia" w:ascii="仿宋_GB2312" w:hAnsi="仿宋" w:eastAsia="仿宋_GB2312"/>
          <w:b/>
          <w:bCs/>
          <w:i/>
          <w:iCs/>
          <w:sz w:val="32"/>
          <w:szCs w:val="32"/>
          <w:highlight w:val="yellow"/>
        </w:rPr>
      </w:pPr>
      <w:r>
        <w:rPr>
          <w:rFonts w:hint="eastAsia" w:ascii="仿宋_GB2312" w:hAnsi="宋体" w:eastAsia="仿宋_GB2312" w:cs="仿宋_GB2312"/>
          <w:b/>
          <w:bCs/>
          <w:i/>
          <w:iCs/>
          <w:kern w:val="0"/>
          <w:sz w:val="32"/>
          <w:szCs w:val="32"/>
          <w:highlight w:val="yellow"/>
        </w:rPr>
        <w:t>资质审核：于</w:t>
      </w:r>
      <w:r>
        <w:rPr>
          <w:rFonts w:hint="eastAsia" w:ascii="仿宋_GB2312" w:hAnsi="仿宋" w:eastAsia="仿宋_GB2312"/>
          <w:b/>
          <w:bCs/>
          <w:i/>
          <w:iCs/>
          <w:sz w:val="32"/>
          <w:szCs w:val="32"/>
          <w:highlight w:val="yellow"/>
        </w:rPr>
        <w:t>山钢集团招标采购与拍卖管理信息平台投标成功后，进行资质评审。</w:t>
      </w:r>
    </w:p>
    <w:p>
      <w:pPr>
        <w:spacing w:line="560" w:lineRule="exact"/>
        <w:ind w:firstLine="643" w:firstLineChars="200"/>
        <w:rPr>
          <w:rFonts w:hint="eastAsia" w:ascii="仿宋_GB2312" w:hAnsi="宋体" w:eastAsia="仿宋_GB2312" w:cs="仿宋_GB2312"/>
          <w:b/>
          <w:bCs/>
          <w:i/>
          <w:iCs/>
          <w:kern w:val="0"/>
          <w:sz w:val="32"/>
          <w:szCs w:val="32"/>
        </w:rPr>
      </w:pPr>
      <w:r>
        <w:rPr>
          <w:rFonts w:hint="eastAsia" w:ascii="仿宋_GB2312" w:hAnsi="仿宋" w:eastAsia="仿宋_GB2312"/>
          <w:b/>
          <w:bCs/>
          <w:i/>
          <w:iCs/>
          <w:sz w:val="32"/>
          <w:szCs w:val="32"/>
          <w:highlight w:val="yellow"/>
        </w:rPr>
        <w:t>竞价：资质评审通过后，于</w:t>
      </w:r>
      <w:r>
        <w:rPr>
          <w:rFonts w:hint="eastAsia" w:ascii="仿宋_GB2312" w:hAnsi="宋体" w:eastAsia="仿宋_GB2312" w:cs="仿宋_GB2312"/>
          <w:b/>
          <w:bCs/>
          <w:i/>
          <w:iCs/>
          <w:kern w:val="0"/>
          <w:sz w:val="32"/>
          <w:szCs w:val="32"/>
          <w:highlight w:val="yellow"/>
        </w:rPr>
        <w:t>欧冶循环宝平台进行竞价。</w:t>
      </w:r>
    </w:p>
    <w:p>
      <w:pPr>
        <w:spacing w:line="560" w:lineRule="exact"/>
        <w:ind w:firstLine="640" w:firstLineChars="2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竞价成功者与销售主体签订线下合同，货款交销售主体，由销售主体开具发票。</w:t>
      </w:r>
    </w:p>
    <w:p>
      <w:pPr>
        <w:spacing w:line="560" w:lineRule="exact"/>
        <w:ind w:firstLine="640" w:firstLineChars="200"/>
        <w:rPr>
          <w:rFonts w:hint="eastAsia" w:ascii="黑体" w:hAnsi="黑体" w:eastAsia="黑体" w:cs="宋体"/>
          <w:kern w:val="0"/>
          <w:sz w:val="32"/>
          <w:szCs w:val="32"/>
        </w:rPr>
      </w:pPr>
      <w:r>
        <w:rPr>
          <w:rFonts w:hint="eastAsia" w:ascii="黑体" w:hAnsi="黑体" w:eastAsia="黑体" w:cs="宋体"/>
          <w:kern w:val="0"/>
          <w:sz w:val="32"/>
          <w:szCs w:val="32"/>
        </w:rPr>
        <w:t>三、销售价格</w:t>
      </w:r>
    </w:p>
    <w:p>
      <w:pPr>
        <w:spacing w:line="560" w:lineRule="exact"/>
        <w:ind w:firstLine="640" w:firstLineChars="2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本次销售为设底价竞价，底价公开，在开始时间前公布。在平台出价最高且不低于底价者为竞价成功者。若无客户响应加价则重新组织销售。</w:t>
      </w:r>
    </w:p>
    <w:p>
      <w:pPr>
        <w:spacing w:line="560" w:lineRule="exact"/>
        <w:ind w:firstLine="640" w:firstLineChars="2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2.竞价价格每次加价幅度要求为1元</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吨的整数倍。</w:t>
      </w:r>
    </w:p>
    <w:p>
      <w:pPr>
        <w:spacing w:line="560" w:lineRule="exact"/>
        <w:ind w:firstLine="640" w:firstLineChars="2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3.竞价价格为出厂含税现汇付款价格。以银行承兑汇票付款的，须按销售主体相关收款政策进行贴息。</w:t>
      </w:r>
    </w:p>
    <w:p>
      <w:pPr>
        <w:spacing w:line="560" w:lineRule="exact"/>
        <w:ind w:firstLine="640" w:firstLineChars="2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4.销售主体与竞价成功者办理结算，结算价格为竞价成功价格。</w:t>
      </w:r>
    </w:p>
    <w:p>
      <w:pPr>
        <w:pStyle w:val="20"/>
        <w:spacing w:line="560" w:lineRule="exact"/>
        <w:ind w:firstLine="640"/>
        <w:rPr>
          <w:rFonts w:hint="eastAsia" w:ascii="黑体" w:hAnsi="黑体" w:eastAsia="黑体" w:cs="黑体"/>
          <w:kern w:val="0"/>
          <w:sz w:val="32"/>
          <w:szCs w:val="32"/>
        </w:rPr>
      </w:pPr>
      <w:r>
        <w:rPr>
          <w:rFonts w:hint="eastAsia" w:ascii="黑体" w:hAnsi="黑体" w:eastAsia="黑体" w:cs="黑体"/>
          <w:kern w:val="0"/>
          <w:sz w:val="32"/>
          <w:szCs w:val="32"/>
        </w:rPr>
        <w:t>四、参加竞价的资格评审及相关要求</w:t>
      </w:r>
    </w:p>
    <w:p>
      <w:pPr>
        <w:pStyle w:val="18"/>
        <w:spacing w:line="560" w:lineRule="exact"/>
        <w:ind w:firstLine="640" w:firstLineChars="200"/>
        <w:rPr>
          <w:rFonts w:hint="eastAsia" w:ascii="仿宋_GB2312" w:hAnsi="仿宋_GB2312" w:eastAsia="仿宋_GB2312" w:cs="仿宋_GB2312"/>
          <w:kern w:val="2"/>
          <w:sz w:val="32"/>
          <w:szCs w:val="32"/>
        </w:rPr>
      </w:pPr>
      <w:bookmarkStart w:id="1" w:name="OLE_LINK1"/>
      <w:r>
        <w:rPr>
          <w:rFonts w:hint="eastAsia" w:ascii="仿宋_GB2312" w:hAnsi="仿宋_GB2312" w:eastAsia="仿宋_GB2312" w:cs="仿宋_GB2312"/>
          <w:kern w:val="2"/>
          <w:sz w:val="32"/>
          <w:szCs w:val="32"/>
        </w:rPr>
        <w:t>1.买方须为在国内注册的中国公司，具备一般纳税人资格。</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2.经营范围包含渣类、灰类、金属类回收、加工、经营或相关资质（包含其中一项即可）。</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3.请在</w:t>
      </w:r>
      <w:r>
        <w:rPr>
          <w:rFonts w:hint="eastAsia" w:ascii="仿宋_GB2312" w:hAnsi="仿宋" w:eastAsia="仿宋_GB2312"/>
          <w:b/>
          <w:bCs/>
          <w:sz w:val="32"/>
          <w:szCs w:val="32"/>
        </w:rPr>
        <w:t>山钢集团招标采购与拍卖管理信息平台</w:t>
      </w:r>
      <w:r>
        <w:rPr>
          <w:rFonts w:hint="eastAsia" w:ascii="仿宋_GB2312" w:hAnsi="仿宋_GB2312" w:eastAsia="仿宋_GB2312" w:cs="仿宋_GB2312"/>
          <w:sz w:val="32"/>
          <w:szCs w:val="32"/>
        </w:rPr>
        <w:t>上传营业执照、环评资料（环评报告、环评批复等）、排污许可证（生产制造商）等资料，上传资料须能证明有除尘灰的加工利用、处置能力；买方不具备加工利用、处置资质的单位，须与合作的第三方组成联合体，提供联合体协议及第三方上述资料，同时合同中增加终端处置单位的签章，并承担相应的环保风险；加工利用、处置在省外完成的，按要求进行备案（</w:t>
      </w:r>
      <w:r>
        <w:rPr>
          <w:rFonts w:hint="eastAsia" w:ascii="仿宋_GB2312" w:hAnsi="仿宋_GB2312" w:eastAsia="仿宋_GB2312" w:cs="仿宋_GB2312"/>
          <w:b/>
          <w:bCs/>
          <w:sz w:val="32"/>
          <w:szCs w:val="32"/>
        </w:rPr>
        <w:t>详见附件</w:t>
      </w:r>
      <w:r>
        <w:rPr>
          <w:rFonts w:ascii="仿宋_GB2312" w:hAnsi="仿宋_GB2312" w:eastAsia="仿宋_GB2312" w:cs="仿宋_GB2312"/>
          <w:b/>
          <w:bCs/>
          <w:sz w:val="32"/>
          <w:szCs w:val="32"/>
        </w:rPr>
        <w:t>2</w:t>
      </w:r>
      <w:r>
        <w:rPr>
          <w:rFonts w:hint="eastAsia" w:ascii="仿宋_GB2312" w:hAnsi="仿宋_GB2312" w:eastAsia="仿宋_GB2312" w:cs="仿宋_GB2312"/>
          <w:sz w:val="32"/>
          <w:szCs w:val="32"/>
        </w:rPr>
        <w:t>）。</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4.投标单位贮存场地应满足国标GB 18599-2020《一般固体废物</w:t>
      </w:r>
      <w:r>
        <w:rPr>
          <w:rFonts w:hint="eastAsia" w:ascii="仿宋_GB2312" w:hAnsi="仿宋_GB2312" w:eastAsia="仿宋_GB2312" w:cs="仿宋_GB2312"/>
          <w:b/>
          <w:sz w:val="32"/>
          <w:szCs w:val="32"/>
        </w:rPr>
        <w:t>贮存和填埋污染控制标准</w:t>
      </w:r>
      <w:r>
        <w:rPr>
          <w:rFonts w:hint="eastAsia" w:ascii="仿宋_GB2312" w:hAnsi="仿宋_GB2312" w:eastAsia="仿宋_GB2312" w:cs="仿宋_GB2312"/>
          <w:b/>
          <w:bCs/>
          <w:sz w:val="32"/>
          <w:szCs w:val="32"/>
        </w:rPr>
        <w:t>》（详见附件3）。</w:t>
      </w:r>
    </w:p>
    <w:p>
      <w:pPr>
        <w:spacing w:line="560" w:lineRule="exact"/>
        <w:ind w:firstLine="640" w:firstLineChars="200"/>
        <w:rPr>
          <w:rFonts w:hint="eastAsia" w:ascii="仿宋_GB2312" w:hAnsi="仿宋_GB2312" w:eastAsia="仿宋_GB2312" w:cs="仿宋_GB2312"/>
          <w:kern w:val="0"/>
          <w:sz w:val="32"/>
          <w:szCs w:val="32"/>
        </w:rPr>
      </w:pPr>
      <w:r>
        <w:rPr>
          <w:rFonts w:ascii="仿宋_GB2312" w:hAnsi="仿宋_GB2312" w:eastAsia="仿宋_GB2312" w:cs="仿宋_GB2312"/>
          <w:sz w:val="32"/>
          <w:szCs w:val="32"/>
        </w:rPr>
        <w:t>5.</w:t>
      </w:r>
      <w:r>
        <w:rPr>
          <w:rFonts w:hint="eastAsia" w:ascii="仿宋_GB2312" w:hAnsi="宋体" w:eastAsia="仿宋_GB2312" w:cs="仿宋_GB2312"/>
          <w:kern w:val="0"/>
          <w:sz w:val="32"/>
          <w:szCs w:val="32"/>
        </w:rPr>
        <w:t>同时满足以上要求的客户，按要求在</w:t>
      </w:r>
      <w:r>
        <w:rPr>
          <w:rFonts w:hint="eastAsia" w:ascii="仿宋_GB2312" w:hAnsi="仿宋" w:eastAsia="仿宋_GB2312"/>
          <w:sz w:val="32"/>
          <w:szCs w:val="32"/>
        </w:rPr>
        <w:t>山钢集团招标采购与拍卖管理信息平台、</w:t>
      </w:r>
      <w:r>
        <w:rPr>
          <w:rFonts w:hint="eastAsia" w:ascii="仿宋_GB2312" w:hAnsi="宋体" w:eastAsia="仿宋_GB2312" w:cs="仿宋_GB2312"/>
          <w:kern w:val="0"/>
          <w:sz w:val="32"/>
          <w:szCs w:val="32"/>
        </w:rPr>
        <w:t>欧冶循环宝平台注册，</w:t>
      </w:r>
      <w:r>
        <w:rPr>
          <w:rFonts w:hint="eastAsia" w:ascii="仿宋_GB2312" w:hAnsi="仿宋" w:eastAsia="仿宋_GB2312" w:cs="宋体"/>
          <w:kern w:val="0"/>
          <w:sz w:val="32"/>
          <w:szCs w:val="32"/>
        </w:rPr>
        <w:t>注册成功后方可参与。</w:t>
      </w:r>
      <w:r>
        <w:rPr>
          <w:rFonts w:hint="eastAsia" w:ascii="仿宋_GB2312" w:hAnsi="仿宋_GB2312" w:eastAsia="仿宋_GB2312" w:cs="仿宋_GB2312"/>
          <w:b/>
          <w:sz w:val="32"/>
          <w:szCs w:val="32"/>
        </w:rPr>
        <w:t>未满足第3、第4条（其中任何一条）要求的视为资质不符。</w:t>
      </w:r>
    </w:p>
    <w:bookmarkEnd w:id="1"/>
    <w:p>
      <w:pPr>
        <w:spacing w:line="560" w:lineRule="exact"/>
        <w:ind w:firstLine="640" w:firstLineChars="200"/>
        <w:rPr>
          <w:rFonts w:hint="eastAsia" w:ascii="仿宋_GB2312" w:hAnsi="等线" w:eastAsia="仿宋_GB2312"/>
          <w:bCs/>
          <w:sz w:val="32"/>
          <w:szCs w:val="32"/>
        </w:rPr>
      </w:pPr>
      <w:r>
        <w:rPr>
          <w:rFonts w:ascii="仿宋_GB2312" w:hAnsi="仿宋" w:eastAsia="仿宋_GB2312" w:cs="宋体"/>
          <w:kern w:val="0"/>
          <w:sz w:val="32"/>
          <w:szCs w:val="32"/>
        </w:rPr>
        <w:t>6</w:t>
      </w:r>
      <w:r>
        <w:rPr>
          <w:rFonts w:hint="eastAsia" w:ascii="仿宋_GB2312" w:hAnsi="仿宋" w:eastAsia="仿宋_GB2312" w:cs="宋体"/>
          <w:kern w:val="0"/>
          <w:sz w:val="32"/>
          <w:szCs w:val="32"/>
        </w:rPr>
        <w:t>.</w:t>
      </w:r>
      <w:r>
        <w:rPr>
          <w:rFonts w:hint="eastAsia" w:ascii="仿宋_GB2312" w:hAnsi="等线" w:eastAsia="仿宋_GB2312" w:cs="华文楷体"/>
          <w:sz w:val="32"/>
          <w:szCs w:val="32"/>
        </w:rPr>
        <w:t>买方</w:t>
      </w:r>
      <w:r>
        <w:rPr>
          <w:rFonts w:hint="eastAsia" w:ascii="仿宋_GB2312" w:hAnsi="等线" w:eastAsia="仿宋_GB2312"/>
          <w:bCs/>
          <w:sz w:val="32"/>
          <w:szCs w:val="32"/>
        </w:rPr>
        <w:t>须</w:t>
      </w:r>
      <w:r>
        <w:rPr>
          <w:rFonts w:hint="eastAsia" w:ascii="仿宋_GB2312" w:eastAsia="仿宋_GB2312" w:cs="宋体"/>
          <w:sz w:val="32"/>
          <w:szCs w:val="32"/>
        </w:rPr>
        <w:t>严格遵守日照公司相关的管理规定，服从现场管理，及时安排车辆发运</w:t>
      </w:r>
      <w:r>
        <w:rPr>
          <w:rFonts w:hint="eastAsia" w:ascii="仿宋_GB2312" w:hAnsi="等线" w:eastAsia="仿宋_GB2312"/>
          <w:bCs/>
          <w:sz w:val="32"/>
          <w:szCs w:val="32"/>
        </w:rPr>
        <w:t>；</w:t>
      </w:r>
      <w:r>
        <w:rPr>
          <w:rFonts w:hint="eastAsia" w:ascii="仿宋_GB2312" w:hAnsi="等线" w:eastAsia="仿宋_GB2312"/>
          <w:b/>
          <w:bCs/>
          <w:sz w:val="32"/>
          <w:szCs w:val="32"/>
        </w:rPr>
        <w:t>以卖方的实际出库的指标、重量为准，不接受由于预估数量差异或货品指标差异或包装差异而产生的任何异议。运输车辆要求装有 GPS 定位系统，若未安装，须提供车辆到达处置单位现场带有时间地点的水印照片。</w:t>
      </w:r>
    </w:p>
    <w:p>
      <w:pPr>
        <w:spacing w:line="560" w:lineRule="exact"/>
        <w:ind w:firstLine="640" w:firstLineChars="200"/>
        <w:rPr>
          <w:rFonts w:ascii="仿宋_GB2312" w:eastAsia="仿宋_GB2312" w:cs="宋体"/>
          <w:sz w:val="32"/>
          <w:szCs w:val="32"/>
          <w:highlight w:val="yellow"/>
        </w:rPr>
      </w:pPr>
      <w:r>
        <w:rPr>
          <w:rFonts w:ascii="仿宋_GB2312" w:hAnsi="等线" w:eastAsia="仿宋_GB2312"/>
          <w:bCs/>
          <w:sz w:val="32"/>
          <w:szCs w:val="32"/>
        </w:rPr>
        <w:t>7</w:t>
      </w:r>
      <w:r>
        <w:rPr>
          <w:rFonts w:hint="eastAsia" w:ascii="仿宋_GB2312" w:hAnsi="等线" w:eastAsia="仿宋_GB2312"/>
          <w:bCs/>
          <w:sz w:val="32"/>
          <w:szCs w:val="32"/>
        </w:rPr>
        <w:t>.</w:t>
      </w:r>
      <w:r>
        <w:rPr>
          <w:rFonts w:hint="eastAsia" w:ascii="仿宋_GB2312" w:eastAsia="仿宋_GB2312" w:cs="宋体"/>
          <w:sz w:val="32"/>
          <w:szCs w:val="32"/>
        </w:rPr>
        <w:t>踏勘现场：202</w:t>
      </w:r>
      <w:r>
        <w:rPr>
          <w:rFonts w:ascii="仿宋_GB2312" w:eastAsia="仿宋_GB2312" w:cs="宋体"/>
          <w:sz w:val="32"/>
          <w:szCs w:val="32"/>
        </w:rPr>
        <w:t>5</w:t>
      </w:r>
      <w:r>
        <w:rPr>
          <w:rFonts w:hint="eastAsia" w:ascii="仿宋_GB2312" w:eastAsia="仿宋_GB2312" w:cs="宋体"/>
          <w:sz w:val="32"/>
          <w:szCs w:val="32"/>
        </w:rPr>
        <w:t>年</w:t>
      </w:r>
      <w:r>
        <w:rPr>
          <w:rFonts w:hint="eastAsia" w:ascii="仿宋_GB2312" w:eastAsia="仿宋_GB2312" w:cs="宋体"/>
          <w:sz w:val="32"/>
          <w:szCs w:val="32"/>
          <w:lang w:val="en-US" w:eastAsia="zh-CN"/>
        </w:rPr>
        <w:t>10</w:t>
      </w:r>
      <w:r>
        <w:rPr>
          <w:rFonts w:hint="eastAsia" w:ascii="仿宋_GB2312" w:eastAsia="仿宋_GB2312" w:cs="宋体"/>
          <w:sz w:val="32"/>
          <w:szCs w:val="32"/>
        </w:rPr>
        <w:t>月</w:t>
      </w:r>
      <w:r>
        <w:rPr>
          <w:rFonts w:hint="eastAsia" w:ascii="仿宋_GB2312" w:eastAsia="仿宋_GB2312" w:cs="宋体"/>
          <w:sz w:val="32"/>
          <w:szCs w:val="32"/>
          <w:lang w:val="en-US" w:eastAsia="zh-CN"/>
        </w:rPr>
        <w:t>11</w:t>
      </w:r>
      <w:r>
        <w:rPr>
          <w:rFonts w:hint="eastAsia" w:ascii="仿宋_GB2312" w:eastAsia="仿宋_GB2312" w:cs="宋体"/>
          <w:sz w:val="32"/>
          <w:szCs w:val="32"/>
        </w:rPr>
        <w:t>日下午14：00统一组织进行现场踏勘。</w:t>
      </w:r>
    </w:p>
    <w:p>
      <w:pPr>
        <w:tabs>
          <w:tab w:val="left" w:pos="425"/>
        </w:tabs>
        <w:spacing w:line="560" w:lineRule="exact"/>
        <w:ind w:firstLine="643" w:firstLineChars="200"/>
        <w:rPr>
          <w:rFonts w:ascii="仿宋_GB2312" w:eastAsia="仿宋_GB2312" w:cs="宋体"/>
          <w:sz w:val="32"/>
          <w:szCs w:val="32"/>
          <w:highlight w:val="yellow"/>
        </w:rPr>
      </w:pPr>
      <w:r>
        <w:rPr>
          <w:rFonts w:hint="eastAsia" w:ascii="仿宋_GB2312" w:eastAsia="仿宋_GB2312" w:cs="宋体"/>
          <w:b/>
          <w:sz w:val="32"/>
          <w:szCs w:val="32"/>
        </w:rPr>
        <w:t>现场踏勘参与条件：自行准备、穿戴齐全劳保护品（安全帽、长袖工作服、绝缘鞋、口罩等）；提前电话报名预约；准时在日照公司北1门集合；不按照要求参加踏勘的，视同放弃参加现场看货的权利；未按要求参加现场踏勘且参与报价的，视为对本次产品的属性认同。</w:t>
      </w:r>
    </w:p>
    <w:p>
      <w:pPr>
        <w:tabs>
          <w:tab w:val="left" w:pos="425"/>
        </w:tabs>
        <w:spacing w:line="560" w:lineRule="exact"/>
        <w:ind w:firstLine="640" w:firstLineChars="200"/>
        <w:rPr>
          <w:rFonts w:ascii="仿宋_GB2312" w:eastAsia="仿宋_GB2312" w:cs="宋体"/>
          <w:sz w:val="32"/>
          <w:szCs w:val="32"/>
        </w:rPr>
      </w:pPr>
      <w:r>
        <w:rPr>
          <w:rFonts w:ascii="仿宋_GB2312" w:hAnsi="等线" w:eastAsia="仿宋_GB2312"/>
          <w:bCs/>
          <w:sz w:val="32"/>
          <w:szCs w:val="32"/>
        </w:rPr>
        <w:t>8</w:t>
      </w:r>
      <w:r>
        <w:rPr>
          <w:rFonts w:hint="eastAsia" w:ascii="仿宋_GB2312" w:hAnsi="等线" w:eastAsia="仿宋_GB2312"/>
          <w:bCs/>
          <w:sz w:val="32"/>
          <w:szCs w:val="32"/>
        </w:rPr>
        <w:t>.</w:t>
      </w:r>
      <w:r>
        <w:rPr>
          <w:rFonts w:hint="eastAsia" w:ascii="仿宋_GB2312" w:eastAsia="仿宋_GB2312" w:cs="宋体"/>
          <w:sz w:val="32"/>
          <w:szCs w:val="32"/>
        </w:rPr>
        <w:t>交货方式：买方自提。提货车辆须为符合山东钢铁集团日照有限公司环保等要求的车辆，</w:t>
      </w:r>
      <w:r>
        <w:rPr>
          <w:rFonts w:hint="eastAsia" w:ascii="仿宋_GB2312" w:hAnsi="仿宋_GB2312" w:eastAsia="仿宋_GB2312" w:cs="仿宋_GB2312"/>
          <w:sz w:val="32"/>
          <w:szCs w:val="32"/>
        </w:rPr>
        <w:t>拉运车辆形式为</w:t>
      </w:r>
      <w:r>
        <w:rPr>
          <w:rFonts w:hint="eastAsia" w:ascii="仿宋_GB2312" w:hAnsi="仿宋_GB2312" w:eastAsia="仿宋_GB2312" w:cs="仿宋_GB2312"/>
          <w:b/>
          <w:bCs/>
          <w:i/>
          <w:iCs/>
          <w:sz w:val="32"/>
          <w:szCs w:val="32"/>
          <w:highlight w:val="yellow"/>
        </w:rPr>
        <w:t>负压吸排罐车</w:t>
      </w:r>
      <w:r>
        <w:rPr>
          <w:rFonts w:hint="eastAsia" w:ascii="仿宋_GB2312" w:hAnsi="仿宋_GB2312" w:eastAsia="仿宋_GB2312" w:cs="仿宋_GB2312"/>
          <w:b/>
          <w:bCs/>
          <w:sz w:val="32"/>
          <w:szCs w:val="32"/>
        </w:rPr>
        <w:t>，</w:t>
      </w:r>
      <w:r>
        <w:rPr>
          <w:rFonts w:hint="eastAsia" w:ascii="仿宋_GB2312" w:eastAsia="仿宋_GB2312" w:cs="宋体"/>
          <w:sz w:val="32"/>
          <w:szCs w:val="32"/>
        </w:rPr>
        <w:t>匹配现场装车条件，服从现场人员管理，及时清运，保障生产顺行。按照买方要求及时派车进行货品运输。车辆入厂前确保水箱排空，皮重增减提前报备，过磅时车上仅留司机一人，严格按照规定路线行驶，听从日照公司现场人员指挥，劳保护品穿戴齐全，做好安全防护，在日照公司现场人员监护下进行装车作业，装货完成后及时</w:t>
      </w:r>
      <w:r>
        <w:rPr>
          <w:rFonts w:hint="eastAsia" w:ascii="仿宋_GB2312" w:eastAsia="仿宋_GB2312" w:cs="宋体"/>
          <w:sz w:val="32"/>
          <w:szCs w:val="32"/>
          <w:lang w:val="en-US" w:eastAsia="zh-CN"/>
        </w:rPr>
        <w:t>过磅</w:t>
      </w:r>
      <w:r>
        <w:rPr>
          <w:rFonts w:hint="eastAsia" w:ascii="仿宋_GB2312" w:eastAsia="仿宋_GB2312" w:cs="宋体"/>
          <w:sz w:val="32"/>
          <w:szCs w:val="32"/>
        </w:rPr>
        <w:t>出厂。及时清运，保障生产顺行。</w:t>
      </w:r>
    </w:p>
    <w:p>
      <w:pPr>
        <w:spacing w:line="560" w:lineRule="exact"/>
        <w:ind w:firstLine="640" w:firstLineChars="200"/>
        <w:rPr>
          <w:rFonts w:hint="eastAsia" w:ascii="仿宋_GB2312" w:hAnsi="宋体" w:eastAsia="仿宋_GB2312" w:cs="仿宋_GB2312"/>
          <w:kern w:val="0"/>
          <w:sz w:val="32"/>
          <w:szCs w:val="32"/>
        </w:rPr>
      </w:pPr>
      <w:r>
        <w:rPr>
          <w:rFonts w:ascii="仿宋_GB2312" w:eastAsia="仿宋_GB2312" w:cs="宋体"/>
          <w:sz w:val="32"/>
          <w:szCs w:val="32"/>
        </w:rPr>
        <w:t>9.</w:t>
      </w:r>
      <w:r>
        <w:rPr>
          <w:rFonts w:hint="eastAsia" w:ascii="仿宋_GB2312" w:hAnsi="宋体" w:eastAsia="仿宋_GB2312" w:cs="仿宋_GB2312"/>
          <w:kern w:val="0"/>
          <w:sz w:val="32"/>
          <w:szCs w:val="32"/>
        </w:rPr>
        <w:t>自中标结束后2个工作日内与销售主体签订合同，向销售主体账户支付卖方总货款的10%作为保证金并签订承诺函（详见附件1），欧冶循环宝平台保证金会在支付保证金后退回；于签订合同之日起3个工作日内向销售主体账户交齐全部货款，并按照实际出库过磅重量多退少补。逾期不缴纳者，保证金不予退还，其余按照欧冶循环宝平台规定执行。签订合同后不履行交款、提货义务的，按合同追究违约责任，销售主体有权取消其今后竞价资格并有权扣罚竞价保证金。</w:t>
      </w:r>
    </w:p>
    <w:p>
      <w:pPr>
        <w:widowControl/>
        <w:shd w:val="clear" w:color="auto" w:fill="FFFFFF"/>
        <w:spacing w:line="560" w:lineRule="exact"/>
        <w:ind w:firstLine="640" w:firstLineChars="200"/>
        <w:rPr>
          <w:rFonts w:hint="eastAsia" w:ascii="仿宋_GB2312" w:hAnsi="等线" w:eastAsia="仿宋_GB2312"/>
          <w:bCs/>
          <w:sz w:val="32"/>
          <w:szCs w:val="32"/>
        </w:rPr>
      </w:pPr>
      <w:r>
        <w:rPr>
          <w:rFonts w:ascii="仿宋_GB2312" w:hAnsi="等线" w:eastAsia="仿宋_GB2312"/>
          <w:bCs/>
          <w:sz w:val="32"/>
          <w:szCs w:val="32"/>
        </w:rPr>
        <w:t>10.</w:t>
      </w:r>
      <w:r>
        <w:rPr>
          <w:rFonts w:hint="eastAsia" w:ascii="仿宋_GB2312" w:hAnsi="仿宋_GB2312" w:eastAsia="仿宋_GB2312" w:cs="仿宋_GB2312"/>
          <w:sz w:val="32"/>
          <w:szCs w:val="32"/>
        </w:rPr>
        <w:t>结算方式：按照卖方过磅重量结合成交单价结算。</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ascii="仿宋_GB2312" w:hAnsi="等线" w:eastAsia="仿宋_GB2312"/>
          <w:bCs/>
          <w:sz w:val="32"/>
          <w:szCs w:val="32"/>
        </w:rPr>
        <w:t>11</w:t>
      </w:r>
      <w:r>
        <w:rPr>
          <w:rFonts w:hint="eastAsia" w:ascii="仿宋_GB2312" w:hAnsi="等线" w:eastAsia="仿宋_GB2312"/>
          <w:bCs/>
          <w:sz w:val="32"/>
          <w:szCs w:val="32"/>
        </w:rPr>
        <w:t>.</w:t>
      </w:r>
      <w:r>
        <w:rPr>
          <w:rFonts w:hint="eastAsia" w:ascii="仿宋_GB2312" w:hAnsi="仿宋" w:eastAsia="仿宋_GB2312" w:cs="宋体"/>
          <w:kern w:val="0"/>
          <w:sz w:val="32"/>
          <w:szCs w:val="32"/>
        </w:rPr>
        <w:t>违约：中标买方</w:t>
      </w:r>
      <w:r>
        <w:rPr>
          <w:rFonts w:hint="eastAsia" w:ascii="仿宋_GB2312" w:hAnsi="仿宋_GB2312" w:eastAsia="仿宋_GB2312" w:cs="仿宋_GB2312"/>
          <w:sz w:val="32"/>
          <w:szCs w:val="32"/>
        </w:rPr>
        <w:t>反悔或未按要求缴纳保证金时，此次报价将视为无效报价，并取消此次中标资格</w:t>
      </w:r>
      <w:r>
        <w:rPr>
          <w:rFonts w:hint="eastAsia" w:ascii="仿宋_GB2312" w:hAnsi="仿宋" w:eastAsia="仿宋_GB2312" w:cs="宋体"/>
          <w:kern w:val="0"/>
          <w:sz w:val="32"/>
          <w:szCs w:val="32"/>
        </w:rPr>
        <w:t>，</w:t>
      </w:r>
      <w:r>
        <w:rPr>
          <w:rFonts w:hint="eastAsia" w:ascii="仿宋_GB2312" w:hAnsi="仿宋_GB2312" w:eastAsia="仿宋_GB2312" w:cs="仿宋_GB2312"/>
          <w:sz w:val="32"/>
          <w:szCs w:val="32"/>
        </w:rPr>
        <w:t>且6个月内禁止参与日照公司固废销售竞卖项目</w:t>
      </w:r>
      <w:r>
        <w:rPr>
          <w:rFonts w:hint="eastAsia" w:ascii="仿宋_GB2312" w:hAnsi="仿宋" w:eastAsia="仿宋_GB2312" w:cs="宋体"/>
          <w:kern w:val="0"/>
          <w:sz w:val="32"/>
          <w:szCs w:val="32"/>
        </w:rPr>
        <w:t>。同一买方累计出现两次上述行为的，</w:t>
      </w:r>
      <w:r>
        <w:rPr>
          <w:rFonts w:hint="eastAsia" w:ascii="仿宋" w:hAnsi="仿宋" w:eastAsia="仿宋" w:cs="黑体"/>
          <w:sz w:val="32"/>
          <w:szCs w:val="32"/>
        </w:rPr>
        <w:t>永久禁止参与公司此类竞卖项目</w:t>
      </w:r>
      <w:r>
        <w:rPr>
          <w:rFonts w:hint="eastAsia" w:ascii="仿宋_GB2312" w:hAnsi="仿宋_GB2312" w:eastAsia="仿宋_GB2312" w:cs="仿宋_GB2312"/>
          <w:sz w:val="32"/>
          <w:szCs w:val="32"/>
        </w:rPr>
        <w:t>。</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买方缴纳预付订金后，发生下列情况之一的，</w:t>
      </w:r>
      <w:r>
        <w:rPr>
          <w:rFonts w:hint="eastAsia" w:ascii="仿宋_GB2312" w:hAnsi="仿宋" w:eastAsia="仿宋_GB2312" w:cs="宋体"/>
          <w:kern w:val="0"/>
          <w:sz w:val="32"/>
          <w:szCs w:val="32"/>
        </w:rPr>
        <w:t>12个月内禁止</w:t>
      </w:r>
      <w:r>
        <w:rPr>
          <w:rFonts w:hint="eastAsia" w:ascii="仿宋_GB2312" w:hAnsi="仿宋_GB2312" w:eastAsia="仿宋_GB2312" w:cs="仿宋_GB2312"/>
          <w:sz w:val="32"/>
          <w:szCs w:val="32"/>
        </w:rPr>
        <w:t>参与日照公司固废销售竞卖项目，买方触犯法律的，</w:t>
      </w:r>
      <w:r>
        <w:rPr>
          <w:rFonts w:hint="eastAsia" w:ascii="仿宋_GB2312" w:hAnsi="仿宋" w:eastAsia="仿宋_GB2312" w:cs="宋体"/>
          <w:kern w:val="0"/>
          <w:sz w:val="32"/>
          <w:szCs w:val="32"/>
        </w:rPr>
        <w:t>将解除合同，永久取消参与日照公司固废</w:t>
      </w:r>
      <w:r>
        <w:rPr>
          <w:rFonts w:hint="eastAsia" w:ascii="仿宋_GB2312" w:hAnsi="仿宋_GB2312" w:eastAsia="仿宋_GB2312" w:cs="仿宋_GB2312"/>
          <w:sz w:val="32"/>
          <w:szCs w:val="32"/>
        </w:rPr>
        <w:t>竞卖项目的资格，并全额扣除买方缴纳的预付订金。</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情况：</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a.买方因自身原因不签署合同的；</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hint="eastAsia" w:ascii="仿宋_GB2312" w:hAnsi="等线" w:eastAsia="仿宋_GB2312" w:cs="华文楷体"/>
          <w:sz w:val="32"/>
          <w:szCs w:val="32"/>
        </w:rPr>
        <w:t>b.未按照卖方要求缴纳货款的；</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c.未按照公告、已签订合同约定条款执行的；</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d.在生产、经营、环境、安全等方面给卖方造成损失或不良影响的。</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 w:eastAsia="仿宋_GB2312" w:cs="宋体"/>
          <w:kern w:val="0"/>
          <w:sz w:val="32"/>
          <w:szCs w:val="32"/>
        </w:rPr>
        <w:t>买方</w:t>
      </w:r>
      <w:r>
        <w:rPr>
          <w:rFonts w:hint="eastAsia" w:ascii="仿宋_GB2312" w:hAnsi="仿宋_GB2312" w:eastAsia="仿宋_GB2312" w:cs="仿宋_GB2312"/>
          <w:sz w:val="32"/>
          <w:szCs w:val="32"/>
        </w:rPr>
        <w:t>发生违约情况时，影响卖方正常生产，为保障生产需求卖方有权终止合同，并重新组织招标。</w:t>
      </w:r>
    </w:p>
    <w:p>
      <w:pPr>
        <w:spacing w:line="560" w:lineRule="exact"/>
        <w:ind w:firstLine="640" w:firstLineChars="200"/>
        <w:rPr>
          <w:rFonts w:hint="eastAsia" w:ascii="黑体" w:hAnsi="黑体" w:eastAsia="黑体" w:cs="宋体"/>
          <w:bCs/>
          <w:kern w:val="0"/>
          <w:sz w:val="32"/>
          <w:szCs w:val="32"/>
        </w:rPr>
      </w:pPr>
      <w:r>
        <w:rPr>
          <w:rFonts w:hint="eastAsia" w:ascii="黑体" w:hAnsi="黑体" w:eastAsia="黑体" w:cs="宋体"/>
          <w:bCs/>
          <w:kern w:val="0"/>
          <w:sz w:val="32"/>
          <w:szCs w:val="32"/>
        </w:rPr>
        <w:t>五、公告、资质审核及竞价时间</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pacing w:val="106"/>
          <w:kern w:val="0"/>
          <w:sz w:val="32"/>
          <w:szCs w:val="32"/>
          <w:fitText w:val="1920" w:id="-997994494"/>
        </w:rPr>
        <w:t>公告时</w:t>
      </w:r>
      <w:r>
        <w:rPr>
          <w:rFonts w:hint="eastAsia" w:ascii="仿宋_GB2312" w:hAnsi="仿宋_GB2312" w:eastAsia="仿宋_GB2312" w:cs="仿宋_GB2312"/>
          <w:spacing w:val="2"/>
          <w:kern w:val="0"/>
          <w:sz w:val="32"/>
          <w:szCs w:val="32"/>
          <w:fitText w:val="1920" w:id="-997994494"/>
        </w:rPr>
        <w:t>间</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025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p>
    <w:p>
      <w:pPr>
        <w:tabs>
          <w:tab w:val="left" w:pos="42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0"/>
          <w:kern w:val="0"/>
          <w:sz w:val="32"/>
          <w:szCs w:val="32"/>
          <w:fitText w:val="1920" w:id="-997994495"/>
        </w:rPr>
        <w:t>资质审核时间</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025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r>
        <w:rPr>
          <w:rFonts w:ascii="仿宋_GB2312" w:hAnsi="仿宋_GB2312" w:eastAsia="仿宋_GB2312" w:cs="仿宋_GB2312"/>
          <w:sz w:val="32"/>
          <w:szCs w:val="32"/>
        </w:rPr>
        <w:t>14</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00</w:t>
      </w:r>
    </w:p>
    <w:p>
      <w:pPr>
        <w:tabs>
          <w:tab w:val="left" w:pos="425"/>
        </w:tabs>
        <w:spacing w:line="560" w:lineRule="exact"/>
        <w:ind w:firstLine="640" w:firstLineChars="200"/>
        <w:rPr>
          <w:rFonts w:hint="eastAsia" w:ascii="仿宋_GB2312" w:hAnsi="仿宋" w:eastAsia="仿宋_GB2312" w:cs="宋体"/>
          <w:kern w:val="0"/>
          <w:sz w:val="32"/>
          <w:szCs w:val="32"/>
        </w:rPr>
      </w:pPr>
      <w:r>
        <w:rPr>
          <w:rFonts w:ascii="仿宋_GB2312" w:hAnsi="仿宋" w:eastAsia="仿宋_GB2312" w:cs="宋体"/>
          <w:kern w:val="0"/>
          <w:sz w:val="32"/>
          <w:szCs w:val="32"/>
        </w:rPr>
        <w:t>3</w:t>
      </w:r>
      <w:r>
        <w:rPr>
          <w:rFonts w:hint="eastAsia" w:ascii="仿宋_GB2312" w:hAnsi="仿宋" w:eastAsia="仿宋_GB2312" w:cs="宋体"/>
          <w:kern w:val="0"/>
          <w:sz w:val="32"/>
          <w:szCs w:val="32"/>
        </w:rPr>
        <w:t>.</w:t>
      </w:r>
      <w:r>
        <w:rPr>
          <w:rFonts w:hint="eastAsia" w:ascii="仿宋_GB2312" w:hAnsi="仿宋" w:eastAsia="仿宋_GB2312" w:cs="宋体"/>
          <w:spacing w:val="106"/>
          <w:kern w:val="0"/>
          <w:sz w:val="32"/>
          <w:szCs w:val="32"/>
          <w:fitText w:val="1920" w:id="-997994496"/>
        </w:rPr>
        <w:t>竞价时</w:t>
      </w:r>
      <w:r>
        <w:rPr>
          <w:rFonts w:hint="eastAsia" w:ascii="仿宋_GB2312" w:hAnsi="仿宋" w:eastAsia="仿宋_GB2312" w:cs="宋体"/>
          <w:spacing w:val="2"/>
          <w:kern w:val="0"/>
          <w:sz w:val="32"/>
          <w:szCs w:val="32"/>
          <w:fitText w:val="1920" w:id="-997994496"/>
        </w:rPr>
        <w:t>间</w:t>
      </w:r>
      <w:r>
        <w:rPr>
          <w:rFonts w:hint="eastAsia" w:ascii="仿宋_GB2312" w:hAnsi="仿宋" w:eastAsia="仿宋_GB2312" w:cs="宋体"/>
          <w:kern w:val="0"/>
          <w:sz w:val="32"/>
          <w:szCs w:val="32"/>
        </w:rPr>
        <w:t>：2</w:t>
      </w:r>
      <w:r>
        <w:rPr>
          <w:rFonts w:ascii="仿宋_GB2312" w:hAnsi="仿宋" w:eastAsia="仿宋_GB2312" w:cs="宋体"/>
          <w:kern w:val="0"/>
          <w:sz w:val="32"/>
          <w:szCs w:val="32"/>
        </w:rPr>
        <w:t>025</w:t>
      </w:r>
      <w:r>
        <w:rPr>
          <w:rFonts w:hint="eastAsia" w:ascii="仿宋_GB2312" w:hAnsi="仿宋" w:eastAsia="仿宋_GB2312" w:cs="宋体"/>
          <w:kern w:val="0"/>
          <w:sz w:val="32"/>
          <w:szCs w:val="32"/>
        </w:rPr>
        <w:t>年</w:t>
      </w:r>
      <w:r>
        <w:rPr>
          <w:rFonts w:hint="eastAsia" w:ascii="仿宋_GB2312" w:hAnsi="仿宋" w:eastAsia="仿宋_GB2312" w:cs="宋体"/>
          <w:kern w:val="0"/>
          <w:sz w:val="32"/>
          <w:szCs w:val="32"/>
          <w:lang w:val="en-US" w:eastAsia="zh-CN"/>
        </w:rPr>
        <w:t>10</w:t>
      </w:r>
      <w:r>
        <w:rPr>
          <w:rFonts w:hint="eastAsia" w:ascii="仿宋_GB2312" w:hAnsi="仿宋" w:eastAsia="仿宋_GB2312" w:cs="宋体"/>
          <w:kern w:val="0"/>
          <w:sz w:val="32"/>
          <w:szCs w:val="32"/>
        </w:rPr>
        <w:t>月1</w:t>
      </w:r>
      <w:r>
        <w:rPr>
          <w:rFonts w:hint="eastAsia" w:ascii="仿宋_GB2312" w:hAnsi="仿宋" w:eastAsia="仿宋_GB2312" w:cs="宋体"/>
          <w:kern w:val="0"/>
          <w:sz w:val="32"/>
          <w:szCs w:val="32"/>
          <w:lang w:val="en-US" w:eastAsia="zh-CN"/>
        </w:rPr>
        <w:t>6</w:t>
      </w:r>
      <w:r>
        <w:rPr>
          <w:rFonts w:hint="eastAsia" w:ascii="仿宋_GB2312" w:hAnsi="仿宋" w:eastAsia="仿宋_GB2312" w:cs="宋体"/>
          <w:kern w:val="0"/>
          <w:sz w:val="32"/>
          <w:szCs w:val="32"/>
        </w:rPr>
        <w:t>日</w:t>
      </w:r>
      <w:r>
        <w:rPr>
          <w:rFonts w:hint="eastAsia" w:ascii="仿宋_GB2312" w:hAnsi="仿宋" w:eastAsia="仿宋_GB2312" w:cs="宋体"/>
          <w:kern w:val="0"/>
          <w:sz w:val="32"/>
          <w:szCs w:val="32"/>
          <w:lang w:val="en-US" w:eastAsia="zh-CN"/>
        </w:rPr>
        <w:t>10</w:t>
      </w:r>
      <w:r>
        <w:rPr>
          <w:rFonts w:hint="eastAsia" w:ascii="仿宋_GB2312" w:hAnsi="仿宋" w:eastAsia="仿宋_GB2312" w:cs="宋体"/>
          <w:kern w:val="0"/>
          <w:sz w:val="32"/>
          <w:szCs w:val="32"/>
        </w:rPr>
        <w:t>：</w:t>
      </w:r>
      <w:r>
        <w:rPr>
          <w:rFonts w:hint="eastAsia" w:ascii="仿宋_GB2312" w:hAnsi="仿宋" w:eastAsia="仿宋_GB2312" w:cs="宋体"/>
          <w:kern w:val="0"/>
          <w:sz w:val="32"/>
          <w:szCs w:val="32"/>
          <w:lang w:val="en-US" w:eastAsia="zh-CN"/>
        </w:rPr>
        <w:t>3</w:t>
      </w:r>
      <w:r>
        <w:rPr>
          <w:rFonts w:ascii="仿宋_GB2312" w:hAnsi="仿宋" w:eastAsia="仿宋_GB2312" w:cs="宋体"/>
          <w:kern w:val="0"/>
          <w:sz w:val="32"/>
          <w:szCs w:val="32"/>
        </w:rPr>
        <w:t>0</w:t>
      </w:r>
      <w:r>
        <w:rPr>
          <w:rFonts w:hint="eastAsia" w:ascii="仿宋_GB2312" w:hAnsi="仿宋" w:eastAsia="仿宋_GB2312" w:cs="宋体"/>
          <w:kern w:val="0"/>
          <w:sz w:val="32"/>
          <w:szCs w:val="32"/>
        </w:rPr>
        <w:t>时-</w:t>
      </w:r>
      <w:r>
        <w:rPr>
          <w:rFonts w:ascii="仿宋_GB2312" w:hAnsi="仿宋" w:eastAsia="仿宋_GB2312" w:cs="宋体"/>
          <w:kern w:val="0"/>
          <w:sz w:val="32"/>
          <w:szCs w:val="32"/>
        </w:rPr>
        <w:t>1</w:t>
      </w:r>
      <w:r>
        <w:rPr>
          <w:rFonts w:hint="eastAsia" w:ascii="仿宋_GB2312" w:hAnsi="仿宋" w:eastAsia="仿宋_GB2312" w:cs="宋体"/>
          <w:kern w:val="0"/>
          <w:sz w:val="32"/>
          <w:szCs w:val="32"/>
          <w:lang w:val="en-US" w:eastAsia="zh-CN"/>
        </w:rPr>
        <w:t>1</w:t>
      </w:r>
      <w:r>
        <w:rPr>
          <w:rFonts w:hint="eastAsia" w:ascii="仿宋_GB2312" w:hAnsi="仿宋" w:eastAsia="仿宋_GB2312" w:cs="宋体"/>
          <w:kern w:val="0"/>
          <w:sz w:val="32"/>
          <w:szCs w:val="32"/>
        </w:rPr>
        <w:t>：</w:t>
      </w:r>
      <w:r>
        <w:rPr>
          <w:rFonts w:hint="eastAsia" w:ascii="仿宋_GB2312" w:hAnsi="仿宋" w:eastAsia="仿宋_GB2312" w:cs="宋体"/>
          <w:kern w:val="0"/>
          <w:sz w:val="32"/>
          <w:szCs w:val="32"/>
          <w:lang w:val="en-US" w:eastAsia="zh-CN"/>
        </w:rPr>
        <w:t>0</w:t>
      </w:r>
      <w:r>
        <w:rPr>
          <w:rFonts w:ascii="仿宋_GB2312" w:hAnsi="仿宋" w:eastAsia="仿宋_GB2312" w:cs="宋体"/>
          <w:kern w:val="0"/>
          <w:sz w:val="32"/>
          <w:szCs w:val="32"/>
        </w:rPr>
        <w:t>0</w:t>
      </w:r>
      <w:r>
        <w:rPr>
          <w:rFonts w:hint="eastAsia" w:ascii="仿宋_GB2312" w:hAnsi="仿宋" w:eastAsia="仿宋_GB2312" w:cs="宋体"/>
          <w:kern w:val="0"/>
          <w:sz w:val="32"/>
          <w:szCs w:val="32"/>
        </w:rPr>
        <w:t>时</w:t>
      </w:r>
    </w:p>
    <w:p>
      <w:pPr>
        <w:tabs>
          <w:tab w:val="left" w:pos="425"/>
        </w:tabs>
        <w:spacing w:line="560" w:lineRule="exac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如遇异常情况，会根据实际情况延长或者延后资质审核及竞价时间，及时通知参与竞卖客户。</w:t>
      </w:r>
    </w:p>
    <w:p>
      <w:pPr>
        <w:tabs>
          <w:tab w:val="left" w:pos="425"/>
        </w:tabs>
        <w:spacing w:line="560" w:lineRule="exact"/>
        <w:ind w:firstLine="640" w:firstLineChars="200"/>
        <w:rPr>
          <w:rFonts w:hint="eastAsia" w:ascii="黑体" w:hAnsi="黑体" w:eastAsia="黑体" w:cs="宋体"/>
          <w:bCs/>
          <w:kern w:val="0"/>
          <w:sz w:val="32"/>
          <w:szCs w:val="32"/>
        </w:rPr>
      </w:pPr>
      <w:r>
        <w:rPr>
          <w:rFonts w:hint="eastAsia" w:ascii="黑体" w:hAnsi="黑体" w:eastAsia="黑体" w:cs="宋体"/>
          <w:bCs/>
          <w:kern w:val="0"/>
          <w:sz w:val="32"/>
          <w:szCs w:val="32"/>
        </w:rPr>
        <w:t>六、</w:t>
      </w:r>
      <w:r>
        <w:rPr>
          <w:rFonts w:hint="eastAsia" w:ascii="黑体" w:hAnsi="黑体" w:eastAsia="黑体" w:cs="黑体"/>
          <w:kern w:val="0"/>
          <w:sz w:val="32"/>
          <w:szCs w:val="32"/>
        </w:rPr>
        <w:t>销售主体联系人及联系电话</w:t>
      </w:r>
    </w:p>
    <w:p>
      <w:pPr>
        <w:spacing w:line="560" w:lineRule="exact"/>
        <w:ind w:firstLine="640" w:firstLineChars="2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李经理  电话：</w:t>
      </w:r>
      <w:r>
        <w:rPr>
          <w:rFonts w:ascii="仿宋_GB2312" w:hAnsi="宋体" w:eastAsia="仿宋_GB2312" w:cs="仿宋_GB2312"/>
          <w:kern w:val="0"/>
          <w:sz w:val="32"/>
          <w:szCs w:val="32"/>
        </w:rPr>
        <w:t>0633-7925507</w:t>
      </w:r>
    </w:p>
    <w:p>
      <w:pPr>
        <w:snapToGrid w:val="0"/>
        <w:spacing w:line="560" w:lineRule="exact"/>
        <w:ind w:firstLine="630"/>
        <w:rPr>
          <w:rFonts w:hint="eastAsia" w:ascii="黑体" w:hAnsi="黑体" w:eastAsia="黑体"/>
          <w:sz w:val="32"/>
          <w:szCs w:val="32"/>
        </w:rPr>
      </w:pPr>
      <w:r>
        <w:rPr>
          <w:rFonts w:hint="eastAsia" w:ascii="黑体" w:hAnsi="黑体" w:eastAsia="黑体"/>
          <w:sz w:val="32"/>
          <w:szCs w:val="32"/>
        </w:rPr>
        <w:t>七、本次公告发布范围</w:t>
      </w:r>
    </w:p>
    <w:p>
      <w:pPr>
        <w:snapToGrid w:val="0"/>
        <w:spacing w:line="560" w:lineRule="exact"/>
        <w:ind w:firstLine="630"/>
        <w:rPr>
          <w:rFonts w:hint="eastAsia" w:ascii="仿宋_GB2312" w:hAnsi="宋体" w:eastAsia="仿宋_GB2312" w:cs="仿宋_GB2312"/>
          <w:spacing w:val="-6"/>
          <w:kern w:val="0"/>
          <w:sz w:val="32"/>
          <w:szCs w:val="32"/>
        </w:rPr>
      </w:pPr>
      <w:r>
        <w:rPr>
          <w:rFonts w:hint="eastAsia" w:ascii="仿宋_GB2312" w:hAnsi="宋体" w:eastAsia="仿宋_GB2312" w:cs="仿宋_GB2312"/>
          <w:spacing w:val="-6"/>
          <w:kern w:val="0"/>
          <w:sz w:val="32"/>
          <w:szCs w:val="32"/>
        </w:rPr>
        <w:t xml:space="preserve">山钢集团招标采购与拍卖管理信息平台： </w:t>
      </w:r>
      <w:r>
        <w:fldChar w:fldCharType="begin"/>
      </w:r>
      <w:r>
        <w:instrText xml:space="preserve"> HYPERLINK "https://bams.shansteelgroup.com/public/Default.aspx" </w:instrText>
      </w:r>
      <w:r>
        <w:fldChar w:fldCharType="separate"/>
      </w:r>
      <w:r>
        <w:rPr>
          <w:rStyle w:val="10"/>
          <w:rFonts w:hint="eastAsia" w:ascii="仿宋_GB2312" w:hAnsi="宋体" w:eastAsia="仿宋_GB2312" w:cs="仿宋_GB2312"/>
          <w:spacing w:val="-6"/>
          <w:kern w:val="0"/>
          <w:sz w:val="32"/>
          <w:szCs w:val="32"/>
        </w:rPr>
        <w:t>https://bams.shansteelgroup.com/public/Default.aspx</w:t>
      </w:r>
      <w:r>
        <w:rPr>
          <w:rStyle w:val="10"/>
          <w:rFonts w:hint="eastAsia" w:ascii="仿宋_GB2312" w:hAnsi="宋体" w:eastAsia="仿宋_GB2312" w:cs="仿宋_GB2312"/>
          <w:spacing w:val="-6"/>
          <w:kern w:val="0"/>
          <w:sz w:val="32"/>
          <w:szCs w:val="32"/>
        </w:rPr>
        <w:fldChar w:fldCharType="end"/>
      </w:r>
    </w:p>
    <w:p>
      <w:pPr>
        <w:snapToGrid w:val="0"/>
        <w:spacing w:line="560" w:lineRule="exact"/>
        <w:ind w:firstLine="630"/>
        <w:rPr>
          <w:rFonts w:hint="eastAsia" w:ascii="仿宋_GB2312" w:hAnsi="宋体" w:eastAsia="仿宋_GB2312" w:cs="仿宋_GB2312"/>
          <w:spacing w:val="-6"/>
          <w:kern w:val="0"/>
          <w:sz w:val="32"/>
          <w:szCs w:val="32"/>
        </w:rPr>
      </w:pPr>
      <w:r>
        <w:rPr>
          <w:rFonts w:hint="eastAsia" w:ascii="仿宋_GB2312" w:hAnsi="宋体" w:eastAsia="仿宋_GB2312" w:cs="仿宋_GB2312"/>
          <w:spacing w:val="-6"/>
          <w:kern w:val="0"/>
          <w:sz w:val="32"/>
          <w:szCs w:val="32"/>
        </w:rPr>
        <w:t>欧冶循环宝平台：</w:t>
      </w:r>
    </w:p>
    <w:p>
      <w:pPr>
        <w:snapToGrid w:val="0"/>
        <w:spacing w:line="560" w:lineRule="exact"/>
        <w:rPr>
          <w:rStyle w:val="10"/>
          <w:rFonts w:hint="eastAsia" w:ascii="仿宋_GB2312" w:hAnsi="宋体" w:eastAsia="仿宋_GB2312" w:cs="仿宋_GB2312"/>
          <w:spacing w:val="-6"/>
          <w:kern w:val="0"/>
          <w:sz w:val="32"/>
          <w:szCs w:val="32"/>
        </w:rPr>
      </w:pPr>
      <w:r>
        <w:fldChar w:fldCharType="begin"/>
      </w:r>
      <w:r>
        <w:instrText xml:space="preserve"> HYPERLINK "https://www.ouyeel.com/search-ng/exchange/home" </w:instrText>
      </w:r>
      <w:r>
        <w:fldChar w:fldCharType="separate"/>
      </w:r>
      <w:r>
        <w:rPr>
          <w:rStyle w:val="10"/>
          <w:rFonts w:hint="eastAsia" w:ascii="仿宋_GB2312" w:hAnsi="宋体" w:eastAsia="仿宋_GB2312" w:cs="仿宋_GB2312"/>
          <w:spacing w:val="-6"/>
          <w:kern w:val="0"/>
          <w:sz w:val="32"/>
          <w:szCs w:val="32"/>
        </w:rPr>
        <w:t>https://www.ouyeel.com/search-ng/exchange/home</w:t>
      </w:r>
      <w:r>
        <w:rPr>
          <w:rStyle w:val="10"/>
          <w:rFonts w:hint="eastAsia" w:ascii="仿宋_GB2312" w:hAnsi="宋体" w:eastAsia="仿宋_GB2312" w:cs="仿宋_GB2312"/>
          <w:spacing w:val="-6"/>
          <w:kern w:val="0"/>
          <w:sz w:val="32"/>
          <w:szCs w:val="32"/>
        </w:rPr>
        <w:fldChar w:fldCharType="end"/>
      </w:r>
    </w:p>
    <w:p>
      <w:pPr>
        <w:snapToGrid w:val="0"/>
        <w:spacing w:line="560" w:lineRule="exact"/>
        <w:rPr>
          <w:rStyle w:val="10"/>
          <w:rFonts w:hint="eastAsia" w:ascii="仿宋_GB2312" w:hAnsi="宋体" w:eastAsia="仿宋_GB2312" w:cs="仿宋_GB2312"/>
          <w:spacing w:val="-6"/>
          <w:kern w:val="0"/>
          <w:sz w:val="32"/>
          <w:szCs w:val="32"/>
        </w:rPr>
      </w:pPr>
    </w:p>
    <w:p>
      <w:pPr>
        <w:snapToGrid w:val="0"/>
        <w:spacing w:line="560" w:lineRule="exac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附件：</w:t>
      </w:r>
      <w:r>
        <w:rPr>
          <w:rFonts w:ascii="仿宋_GB2312" w:hAnsi="宋体" w:eastAsia="仿宋_GB2312" w:cs="仿宋_GB2312"/>
          <w:kern w:val="0"/>
          <w:sz w:val="32"/>
          <w:szCs w:val="32"/>
        </w:rPr>
        <w:t>1.</w:t>
      </w:r>
      <w:r>
        <w:rPr>
          <w:rFonts w:hint="eastAsia" w:ascii="仿宋_GB2312" w:hAnsi="宋体" w:eastAsia="仿宋_GB2312" w:cs="仿宋_GB2312"/>
          <w:kern w:val="0"/>
          <w:sz w:val="32"/>
          <w:szCs w:val="32"/>
        </w:rPr>
        <w:t>承诺函</w:t>
      </w:r>
    </w:p>
    <w:p>
      <w:pPr>
        <w:snapToGrid w:val="0"/>
        <w:spacing w:line="560" w:lineRule="exact"/>
        <w:ind w:firstLine="960" w:firstLineChars="300"/>
        <w:rPr>
          <w:rFonts w:hint="eastAsia" w:ascii="仿宋_GB2312" w:hAnsi="宋体" w:eastAsia="仿宋_GB2312" w:cs="仿宋_GB2312"/>
          <w:kern w:val="0"/>
          <w:sz w:val="32"/>
          <w:szCs w:val="32"/>
        </w:rPr>
      </w:pPr>
      <w:r>
        <w:rPr>
          <w:rFonts w:ascii="仿宋_GB2312" w:hAnsi="宋体" w:eastAsia="仿宋_GB2312" w:cs="仿宋_GB2312"/>
          <w:kern w:val="0"/>
          <w:sz w:val="32"/>
          <w:szCs w:val="32"/>
        </w:rPr>
        <w:t>2.</w:t>
      </w:r>
      <w:r>
        <w:rPr>
          <w:rFonts w:hint="eastAsia" w:ascii="仿宋_GB2312" w:hAnsi="宋体" w:eastAsia="仿宋_GB2312" w:cs="仿宋_GB2312"/>
          <w:spacing w:val="1"/>
          <w:w w:val="95"/>
          <w:kern w:val="0"/>
          <w:sz w:val="32"/>
          <w:szCs w:val="32"/>
          <w:fitText w:val="7360" w:id="-664114688"/>
        </w:rPr>
        <w:t>山东省生态环境厅关于固体废物转移出省利用备案通</w:t>
      </w:r>
      <w:r>
        <w:rPr>
          <w:rFonts w:hint="eastAsia" w:ascii="仿宋_GB2312" w:hAnsi="宋体" w:eastAsia="仿宋_GB2312" w:cs="仿宋_GB2312"/>
          <w:spacing w:val="27"/>
          <w:w w:val="95"/>
          <w:kern w:val="0"/>
          <w:sz w:val="32"/>
          <w:szCs w:val="32"/>
          <w:fitText w:val="7360" w:id="-664114688"/>
        </w:rPr>
        <w:t>知</w:t>
      </w:r>
    </w:p>
    <w:p>
      <w:pPr>
        <w:snapToGrid w:val="0"/>
        <w:spacing w:line="560" w:lineRule="exact"/>
        <w:ind w:firstLine="960" w:firstLineChars="3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3</w:t>
      </w:r>
      <w:r>
        <w:rPr>
          <w:rFonts w:ascii="仿宋_GB2312" w:hAnsi="宋体" w:eastAsia="仿宋_GB2312" w:cs="仿宋_GB2312"/>
          <w:kern w:val="0"/>
          <w:sz w:val="32"/>
          <w:szCs w:val="32"/>
        </w:rPr>
        <w:t>.</w:t>
      </w:r>
      <w:r>
        <w:rPr>
          <w:rFonts w:hint="eastAsia" w:ascii="仿宋_GB2312" w:hAnsi="仿宋" w:eastAsia="仿宋_GB2312" w:cs="宋体"/>
          <w:kern w:val="0"/>
          <w:sz w:val="32"/>
          <w:szCs w:val="32"/>
        </w:rPr>
        <w:t>GB18599-2020《一般固体废物贮存和填埋污染控制标准》</w:t>
      </w:r>
      <w:r>
        <w:rPr>
          <w:rFonts w:hint="eastAsia" w:ascii="仿宋_GB2312" w:hAnsi="宋体" w:eastAsia="仿宋_GB2312" w:cs="仿宋_GB2312"/>
          <w:kern w:val="0"/>
          <w:sz w:val="32"/>
          <w:szCs w:val="32"/>
        </w:rPr>
        <w:t xml:space="preserve"> </w:t>
      </w:r>
    </w:p>
    <w:p>
      <w:pPr>
        <w:spacing w:line="560" w:lineRule="exact"/>
        <w:ind w:firstLine="640" w:firstLineChars="200"/>
        <w:rPr>
          <w:rFonts w:hint="eastAsia" w:ascii="仿宋_GB2312" w:hAnsi="仿宋" w:eastAsia="仿宋_GB2312" w:cs="宋体"/>
          <w:kern w:val="0"/>
          <w:sz w:val="32"/>
          <w:szCs w:val="32"/>
        </w:rPr>
      </w:pPr>
    </w:p>
    <w:p>
      <w:pPr>
        <w:spacing w:line="560" w:lineRule="exact"/>
        <w:ind w:right="160" w:firstLine="4800" w:firstLineChars="15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山东钢铁集团日照有限公司</w:t>
      </w:r>
    </w:p>
    <w:p>
      <w:pPr>
        <w:spacing w:line="560" w:lineRule="exact"/>
        <w:ind w:right="160" w:firstLine="5440" w:firstLineChars="1700"/>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202</w:t>
      </w:r>
      <w:r>
        <w:rPr>
          <w:rFonts w:ascii="仿宋_GB2312" w:hAnsi="宋体" w:eastAsia="仿宋_GB2312" w:cs="仿宋_GB2312"/>
          <w:kern w:val="0"/>
          <w:sz w:val="32"/>
          <w:szCs w:val="32"/>
        </w:rPr>
        <w:t>5</w:t>
      </w:r>
      <w:r>
        <w:rPr>
          <w:rFonts w:hint="eastAsia" w:ascii="仿宋_GB2312" w:hAnsi="宋体" w:eastAsia="仿宋_GB2312" w:cs="仿宋_GB2312"/>
          <w:kern w:val="0"/>
          <w:sz w:val="32"/>
          <w:szCs w:val="32"/>
        </w:rPr>
        <w:t>年</w:t>
      </w:r>
      <w:r>
        <w:rPr>
          <w:rFonts w:hint="eastAsia" w:ascii="仿宋_GB2312" w:hAnsi="宋体" w:eastAsia="仿宋_GB2312" w:cs="仿宋_GB2312"/>
          <w:kern w:val="0"/>
          <w:sz w:val="32"/>
          <w:szCs w:val="32"/>
          <w:lang w:val="en-US" w:eastAsia="zh-CN"/>
        </w:rPr>
        <w:t>10</w:t>
      </w:r>
      <w:r>
        <w:rPr>
          <w:rFonts w:hint="eastAsia" w:ascii="仿宋_GB2312" w:hAnsi="宋体" w:eastAsia="仿宋_GB2312" w:cs="仿宋_GB2312"/>
          <w:kern w:val="0"/>
          <w:sz w:val="32"/>
          <w:szCs w:val="32"/>
        </w:rPr>
        <w:t>月</w:t>
      </w:r>
      <w:r>
        <w:rPr>
          <w:rFonts w:hint="eastAsia" w:ascii="仿宋_GB2312" w:hAnsi="宋体" w:eastAsia="仿宋_GB2312" w:cs="仿宋_GB2312"/>
          <w:kern w:val="0"/>
          <w:sz w:val="32"/>
          <w:szCs w:val="32"/>
          <w:lang w:val="en-US" w:eastAsia="zh-CN"/>
        </w:rPr>
        <w:t>9</w:t>
      </w:r>
      <w:r>
        <w:rPr>
          <w:rFonts w:hint="eastAsia" w:ascii="仿宋_GB2312" w:hAnsi="宋体" w:eastAsia="仿宋_GB2312" w:cs="仿宋_GB2312"/>
          <w:kern w:val="0"/>
          <w:sz w:val="32"/>
          <w:szCs w:val="32"/>
        </w:rPr>
        <w:t xml:space="preserve">日       </w:t>
      </w:r>
    </w:p>
    <w:p>
      <w:pPr>
        <w:spacing w:line="560" w:lineRule="exact"/>
        <w:ind w:firstLine="640" w:firstLineChars="200"/>
        <w:rPr>
          <w:rFonts w:hint="eastAsia" w:ascii="仿宋_GB2312" w:hAnsi="宋体" w:eastAsia="仿宋_GB2312" w:cs="仿宋_GB2312"/>
          <w:kern w:val="0"/>
          <w:sz w:val="32"/>
          <w:szCs w:val="32"/>
        </w:rPr>
      </w:pPr>
    </w:p>
    <w:p>
      <w:pPr>
        <w:spacing w:line="560" w:lineRule="exact"/>
        <w:ind w:firstLine="640" w:firstLineChars="200"/>
        <w:rPr>
          <w:rFonts w:hint="eastAsia" w:ascii="仿宋_GB2312" w:hAnsi="宋体" w:eastAsia="仿宋_GB2312" w:cs="仿宋_GB2312"/>
          <w:kern w:val="0"/>
          <w:sz w:val="32"/>
          <w:szCs w:val="32"/>
        </w:rPr>
      </w:pPr>
    </w:p>
    <w:p>
      <w:pPr>
        <w:spacing w:line="560" w:lineRule="exact"/>
        <w:ind w:firstLine="640" w:firstLineChars="200"/>
        <w:rPr>
          <w:rFonts w:hint="eastAsia" w:ascii="仿宋_GB2312" w:hAnsi="宋体" w:eastAsia="仿宋_GB2312" w:cs="仿宋_GB2312"/>
          <w:kern w:val="0"/>
          <w:sz w:val="32"/>
          <w:szCs w:val="32"/>
        </w:rPr>
      </w:pPr>
    </w:p>
    <w:p>
      <w:pPr>
        <w:spacing w:line="560" w:lineRule="exact"/>
        <w:ind w:firstLine="640" w:firstLineChars="200"/>
        <w:rPr>
          <w:rFonts w:hint="eastAsia" w:ascii="仿宋_GB2312" w:hAnsi="宋体" w:eastAsia="仿宋_GB2312" w:cs="仿宋_GB2312"/>
          <w:kern w:val="0"/>
          <w:sz w:val="32"/>
          <w:szCs w:val="32"/>
        </w:rPr>
      </w:pPr>
    </w:p>
    <w:p>
      <w:pPr>
        <w:pStyle w:val="19"/>
        <w:spacing w:line="560" w:lineRule="exact"/>
        <w:ind w:left="0" w:leftChars="0" w:firstLine="0"/>
        <w:jc w:val="both"/>
        <w:rPr>
          <w:rFonts w:hint="eastAsia" w:ascii="仿宋_GB2312" w:hAnsi="黑体" w:eastAsia="仿宋_GB2312"/>
          <w:b w:val="0"/>
          <w:bCs w:val="0"/>
          <w:spacing w:val="8"/>
          <w:sz w:val="32"/>
          <w:szCs w:val="32"/>
        </w:rPr>
      </w:pPr>
    </w:p>
    <w:p>
      <w:pPr>
        <w:pStyle w:val="19"/>
        <w:spacing w:line="560" w:lineRule="exact"/>
        <w:ind w:left="0" w:leftChars="0" w:firstLine="0"/>
        <w:jc w:val="both"/>
        <w:rPr>
          <w:rFonts w:hint="eastAsia" w:ascii="仿宋_GB2312" w:hAnsi="黑体" w:eastAsia="仿宋_GB2312"/>
          <w:b w:val="0"/>
          <w:bCs w:val="0"/>
          <w:spacing w:val="8"/>
          <w:sz w:val="32"/>
          <w:szCs w:val="32"/>
        </w:rPr>
      </w:pPr>
    </w:p>
    <w:p>
      <w:pPr>
        <w:pStyle w:val="19"/>
        <w:spacing w:line="560" w:lineRule="exact"/>
        <w:ind w:left="0" w:leftChars="0" w:firstLine="0"/>
        <w:jc w:val="both"/>
        <w:rPr>
          <w:rFonts w:hint="eastAsia" w:ascii="仿宋_GB2312" w:hAnsi="黑体" w:eastAsia="仿宋_GB2312"/>
          <w:b w:val="0"/>
          <w:bCs w:val="0"/>
          <w:spacing w:val="8"/>
          <w:sz w:val="32"/>
          <w:szCs w:val="32"/>
        </w:rPr>
      </w:pPr>
    </w:p>
    <w:p>
      <w:pPr>
        <w:pStyle w:val="19"/>
        <w:spacing w:line="560" w:lineRule="exact"/>
        <w:ind w:left="0" w:leftChars="0" w:firstLine="0"/>
        <w:jc w:val="both"/>
        <w:rPr>
          <w:rFonts w:hint="eastAsia" w:ascii="仿宋_GB2312" w:hAnsi="黑体" w:eastAsia="仿宋_GB2312"/>
          <w:b w:val="0"/>
          <w:bCs w:val="0"/>
          <w:spacing w:val="8"/>
          <w:sz w:val="32"/>
          <w:szCs w:val="32"/>
        </w:rPr>
      </w:pPr>
    </w:p>
    <w:p>
      <w:pPr>
        <w:pStyle w:val="19"/>
        <w:spacing w:line="560" w:lineRule="exact"/>
        <w:ind w:left="0" w:leftChars="0" w:firstLine="0"/>
        <w:jc w:val="both"/>
        <w:rPr>
          <w:rFonts w:hint="eastAsia" w:ascii="仿宋_GB2312" w:hAnsi="黑体" w:eastAsia="仿宋_GB2312"/>
          <w:b w:val="0"/>
          <w:bCs w:val="0"/>
          <w:spacing w:val="8"/>
          <w:sz w:val="32"/>
          <w:szCs w:val="32"/>
        </w:rPr>
      </w:pPr>
    </w:p>
    <w:p>
      <w:pPr>
        <w:pStyle w:val="19"/>
        <w:spacing w:line="560" w:lineRule="exact"/>
        <w:ind w:left="0" w:leftChars="0" w:firstLine="0"/>
        <w:jc w:val="both"/>
        <w:rPr>
          <w:rFonts w:hint="eastAsia" w:ascii="黑体" w:hAnsi="黑体" w:eastAsia="黑体"/>
          <w:b w:val="0"/>
          <w:bCs w:val="0"/>
          <w:spacing w:val="8"/>
          <w:sz w:val="32"/>
        </w:rPr>
      </w:pPr>
      <w:r>
        <w:rPr>
          <w:rFonts w:hint="eastAsia" w:ascii="黑体" w:hAnsi="黑体" w:eastAsia="黑体"/>
          <w:b w:val="0"/>
          <w:bCs w:val="0"/>
          <w:spacing w:val="8"/>
          <w:sz w:val="32"/>
        </w:rPr>
        <w:t>附件</w:t>
      </w:r>
      <w:r>
        <w:rPr>
          <w:rFonts w:ascii="黑体" w:hAnsi="黑体" w:eastAsia="黑体"/>
          <w:b w:val="0"/>
          <w:bCs w:val="0"/>
          <w:spacing w:val="8"/>
          <w:sz w:val="32"/>
        </w:rPr>
        <w:t>1</w:t>
      </w:r>
    </w:p>
    <w:p>
      <w:pPr>
        <w:pStyle w:val="19"/>
        <w:spacing w:line="560" w:lineRule="exact"/>
        <w:ind w:left="0" w:leftChars="0" w:firstLine="0"/>
        <w:jc w:val="both"/>
        <w:rPr>
          <w:rFonts w:hint="eastAsia" w:ascii="黑体" w:hAnsi="黑体" w:eastAsia="黑体"/>
          <w:b w:val="0"/>
          <w:bCs w:val="0"/>
          <w:spacing w:val="8"/>
          <w:sz w:val="32"/>
        </w:rPr>
      </w:pP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承诺函</w:t>
      </w:r>
    </w:p>
    <w:p>
      <w:pPr>
        <w:spacing w:line="560" w:lineRule="exact"/>
        <w:jc w:val="center"/>
        <w:rPr>
          <w:rFonts w:ascii="方正小标宋简体" w:eastAsia="方正小标宋简体"/>
          <w:sz w:val="44"/>
          <w:szCs w:val="44"/>
        </w:rPr>
      </w:pPr>
    </w:p>
    <w:p>
      <w:pPr>
        <w:tabs>
          <w:tab w:val="left" w:pos="425"/>
        </w:tabs>
        <w:spacing w:line="560" w:lineRule="exact"/>
        <w:ind w:firstLine="560" w:firstLineChars="200"/>
        <w:jc w:val="left"/>
        <w:rPr>
          <w:rFonts w:hint="eastAsia" w:ascii="仿宋_GB2312" w:hAnsi="仿宋" w:eastAsia="仿宋_GB2312" w:cs="仿宋_GB2312"/>
          <w:sz w:val="28"/>
          <w:szCs w:val="28"/>
          <w:u w:val="single"/>
        </w:rPr>
      </w:pPr>
      <w:r>
        <w:rPr>
          <w:rFonts w:hint="eastAsia" w:ascii="仿宋_GB2312" w:hAnsi="仿宋" w:eastAsia="仿宋_GB2312" w:cs="仿宋_GB2312"/>
          <w:sz w:val="28"/>
          <w:szCs w:val="28"/>
        </w:rPr>
        <w:t>按照山东钢铁集团日照有限公司《山东钢铁集团日照有限公司关于炼钢厂一次除尘灰（2025年第</w:t>
      </w:r>
      <w:r>
        <w:rPr>
          <w:rFonts w:hint="eastAsia" w:ascii="仿宋_GB2312" w:hAnsi="仿宋" w:eastAsia="仿宋_GB2312" w:cs="仿宋_GB2312"/>
          <w:sz w:val="28"/>
          <w:szCs w:val="28"/>
          <w:lang w:val="en-US" w:eastAsia="zh-CN"/>
        </w:rPr>
        <w:t>十</w:t>
      </w:r>
      <w:r>
        <w:rPr>
          <w:rFonts w:hint="eastAsia" w:ascii="仿宋_GB2312" w:hAnsi="仿宋" w:eastAsia="仿宋_GB2312" w:cs="仿宋_GB2312"/>
          <w:sz w:val="28"/>
          <w:szCs w:val="28"/>
        </w:rPr>
        <w:t>批）、炼铁厂高炉环境灰（2025年第十</w:t>
      </w:r>
      <w:r>
        <w:rPr>
          <w:rFonts w:hint="eastAsia" w:ascii="仿宋_GB2312" w:hAnsi="仿宋" w:eastAsia="仿宋_GB2312" w:cs="仿宋_GB2312"/>
          <w:sz w:val="28"/>
          <w:szCs w:val="28"/>
          <w:lang w:val="en-US" w:eastAsia="zh-CN"/>
        </w:rPr>
        <w:t>一</w:t>
      </w:r>
      <w:r>
        <w:rPr>
          <w:rFonts w:hint="eastAsia" w:ascii="仿宋_GB2312" w:hAnsi="仿宋" w:eastAsia="仿宋_GB2312" w:cs="仿宋_GB2312"/>
          <w:sz w:val="28"/>
          <w:szCs w:val="28"/>
        </w:rPr>
        <w:t>批）竞卖公告》的要求，</w:t>
      </w:r>
      <w:r>
        <w:rPr>
          <w:rFonts w:hint="eastAsia" w:ascii="仿宋_GB2312" w:hAnsi="仿宋" w:eastAsia="仿宋_GB2312" w:cs="仿宋_GB2312"/>
          <w:sz w:val="28"/>
          <w:szCs w:val="28"/>
          <w:u w:val="single"/>
        </w:rPr>
        <w:t xml:space="preserve">  </w:t>
      </w:r>
      <w:r>
        <w:rPr>
          <w:rFonts w:ascii="仿宋_GB2312" w:hAnsi="仿宋" w:eastAsia="仿宋_GB2312" w:cs="仿宋_GB2312"/>
          <w:sz w:val="28"/>
          <w:szCs w:val="28"/>
          <w:u w:val="single"/>
        </w:rPr>
        <w:t xml:space="preserve"> </w:t>
      </w:r>
      <w:r>
        <w:rPr>
          <w:rFonts w:hint="eastAsia" w:ascii="仿宋_GB2312" w:hAnsi="仿宋" w:eastAsia="仿宋_GB2312" w:cs="仿宋_GB2312"/>
          <w:sz w:val="28"/>
          <w:szCs w:val="28"/>
          <w:u w:val="single"/>
        </w:rPr>
        <w:t xml:space="preserve">                 </w:t>
      </w:r>
      <w:r>
        <w:rPr>
          <w:rFonts w:hint="eastAsia" w:ascii="仿宋_GB2312" w:hAnsi="仿宋" w:eastAsia="仿宋_GB2312" w:cs="仿宋_GB2312"/>
          <w:sz w:val="28"/>
          <w:szCs w:val="28"/>
        </w:rPr>
        <w:t>公司（以下称：我司）</w:t>
      </w:r>
      <w:r>
        <w:rPr>
          <w:rFonts w:hint="eastAsia" w:ascii="仿宋_GB2312" w:hAnsi="仿宋" w:eastAsia="仿宋_GB2312" w:cs="仿宋_GB2312"/>
          <w:b/>
          <w:sz w:val="28"/>
          <w:szCs w:val="28"/>
        </w:rPr>
        <w:t>，认同货品的品质及现场装车条件，对本次产品的属性认同。</w:t>
      </w:r>
    </w:p>
    <w:p>
      <w:pPr>
        <w:tabs>
          <w:tab w:val="left" w:pos="425"/>
        </w:tabs>
        <w:spacing w:line="560" w:lineRule="exact"/>
        <w:ind w:firstLine="560" w:firstLineChars="200"/>
        <w:rPr>
          <w:rFonts w:hint="eastAsia" w:ascii="仿宋_GB2312" w:hAnsi="仿宋" w:eastAsia="仿宋_GB2312" w:cs="仿宋_GB2312"/>
          <w:sz w:val="28"/>
          <w:szCs w:val="28"/>
        </w:rPr>
      </w:pPr>
      <w:r>
        <w:rPr>
          <w:rFonts w:hint="eastAsia" w:ascii="仿宋_GB2312" w:hAnsi="仿宋" w:eastAsia="仿宋_GB2312" w:cs="仿宋_GB2312"/>
          <w:sz w:val="28"/>
          <w:szCs w:val="28"/>
        </w:rPr>
        <w:t>我司承诺：确认202</w:t>
      </w:r>
      <w:r>
        <w:rPr>
          <w:rFonts w:ascii="仿宋_GB2312" w:hAnsi="仿宋" w:eastAsia="仿宋_GB2312" w:cs="仿宋_GB2312"/>
          <w:sz w:val="28"/>
          <w:szCs w:val="28"/>
        </w:rPr>
        <w:t>5</w:t>
      </w:r>
      <w:r>
        <w:rPr>
          <w:rFonts w:hint="eastAsia" w:ascii="仿宋_GB2312" w:hAnsi="仿宋" w:eastAsia="仿宋_GB2312" w:cs="仿宋_GB2312"/>
          <w:sz w:val="28"/>
          <w:szCs w:val="28"/>
        </w:rPr>
        <w:t>年</w:t>
      </w:r>
      <w:r>
        <w:rPr>
          <w:rFonts w:hint="eastAsia" w:ascii="仿宋_GB2312" w:hAnsi="仿宋" w:eastAsia="仿宋_GB2312" w:cs="仿宋_GB2312"/>
          <w:sz w:val="28"/>
          <w:szCs w:val="28"/>
          <w:u w:val="single"/>
        </w:rPr>
        <w:t xml:space="preserve">  </w:t>
      </w:r>
      <w:r>
        <w:rPr>
          <w:rFonts w:hint="eastAsia" w:ascii="仿宋_GB2312" w:hAnsi="仿宋" w:eastAsia="仿宋_GB2312" w:cs="仿宋_GB2312"/>
          <w:sz w:val="28"/>
          <w:szCs w:val="28"/>
        </w:rPr>
        <w:t>月</w:t>
      </w:r>
      <w:r>
        <w:rPr>
          <w:rFonts w:hint="eastAsia" w:ascii="仿宋_GB2312" w:hAnsi="仿宋" w:eastAsia="仿宋_GB2312" w:cs="仿宋_GB2312"/>
          <w:sz w:val="28"/>
          <w:szCs w:val="28"/>
          <w:u w:val="single"/>
        </w:rPr>
        <w:t xml:space="preserve">  </w:t>
      </w:r>
      <w:r>
        <w:rPr>
          <w:rFonts w:hint="eastAsia" w:ascii="仿宋_GB2312" w:hAnsi="仿宋" w:eastAsia="仿宋_GB2312" w:cs="仿宋_GB2312"/>
          <w:sz w:val="28"/>
          <w:szCs w:val="28"/>
        </w:rPr>
        <w:t>日</w:t>
      </w:r>
      <w:r>
        <w:rPr>
          <w:rFonts w:hint="eastAsia" w:ascii="仿宋_GB2312" w:hAnsi="仿宋" w:eastAsia="仿宋_GB2312" w:cs="仿宋_GB2312"/>
          <w:sz w:val="28"/>
          <w:szCs w:val="28"/>
          <w:u w:val="single"/>
        </w:rPr>
        <w:t xml:space="preserve">   </w:t>
      </w:r>
      <w:r>
        <w:rPr>
          <w:rFonts w:hint="eastAsia" w:ascii="仿宋_GB2312" w:hAnsi="仿宋" w:eastAsia="仿宋_GB2312" w:cs="仿宋_GB2312"/>
          <w:sz w:val="28"/>
          <w:szCs w:val="28"/>
        </w:rPr>
        <w:t>包</w:t>
      </w:r>
      <w:r>
        <w:rPr>
          <w:rFonts w:hint="eastAsia" w:ascii="仿宋_GB2312" w:hAnsi="仿宋" w:eastAsia="仿宋_GB2312" w:cs="仿宋_GB2312"/>
          <w:sz w:val="28"/>
          <w:szCs w:val="28"/>
          <w:u w:val="single"/>
        </w:rPr>
        <w:t xml:space="preserve">      </w:t>
      </w:r>
      <w:r>
        <w:rPr>
          <w:rFonts w:hint="eastAsia" w:ascii="仿宋_GB2312" w:hAnsi="仿宋" w:eastAsia="仿宋_GB2312" w:cs="仿宋_GB2312"/>
          <w:sz w:val="28"/>
          <w:szCs w:val="28"/>
        </w:rPr>
        <w:t>元/吨的报价，上述报价为含税（13%）人民币现汇出厂价格。认同竞卖公告中的所有条款，</w:t>
      </w:r>
      <w:r>
        <w:rPr>
          <w:rFonts w:hint="eastAsia" w:ascii="仿宋_GB2312" w:hAnsi="仿宋" w:eastAsia="仿宋_GB2312" w:cs="仿宋_GB2312"/>
          <w:sz w:val="28"/>
          <w:szCs w:val="28"/>
          <w:em w:val="dot"/>
        </w:rPr>
        <w:t>年度综合利用处理能力（含本次利用处理量）未达上限</w:t>
      </w:r>
      <w:r>
        <w:rPr>
          <w:rFonts w:hint="eastAsia" w:ascii="仿宋_GB2312" w:hAnsi="仿宋" w:eastAsia="仿宋_GB2312" w:cs="仿宋_GB2312"/>
          <w:sz w:val="28"/>
          <w:szCs w:val="28"/>
        </w:rPr>
        <w:t>，货品运输使用符合山东钢铁集团日照有限公司环保要求的车辆，并按照买方要求及时派车进行标的物的运输。</w:t>
      </w:r>
      <w:r>
        <w:rPr>
          <w:rFonts w:hint="eastAsia" w:ascii="仿宋_GB2312" w:hAnsi="仿宋" w:eastAsia="仿宋_GB2312" w:cs="仿宋_GB2312"/>
          <w:sz w:val="28"/>
          <w:szCs w:val="28"/>
          <w:em w:val="dot"/>
        </w:rPr>
        <w:t>车辆入厂前确保水箱排空</w:t>
      </w:r>
      <w:r>
        <w:rPr>
          <w:rFonts w:hint="eastAsia" w:ascii="仿宋_GB2312" w:hAnsi="仿宋" w:eastAsia="仿宋_GB2312" w:cs="仿宋_GB2312"/>
          <w:sz w:val="28"/>
          <w:szCs w:val="28"/>
        </w:rPr>
        <w:t>，皮重增减前提前报备，过磅时车上</w:t>
      </w:r>
      <w:r>
        <w:rPr>
          <w:rFonts w:hint="eastAsia" w:ascii="仿宋_GB2312" w:hAnsi="仿宋" w:eastAsia="仿宋_GB2312" w:cs="仿宋_GB2312"/>
          <w:sz w:val="28"/>
          <w:szCs w:val="28"/>
          <w:em w:val="dot"/>
        </w:rPr>
        <w:t>仅留司机一人</w:t>
      </w:r>
      <w:r>
        <w:rPr>
          <w:rFonts w:hint="eastAsia" w:ascii="仿宋_GB2312" w:hAnsi="仿宋" w:eastAsia="仿宋_GB2312" w:cs="仿宋_GB2312"/>
          <w:sz w:val="28"/>
          <w:szCs w:val="28"/>
        </w:rPr>
        <w:t>，严格按照规定路线行驶，听从日照公司现场人员指挥，劳保护品穿戴齐全，做好安全防护，在日照公司现场人员监护下进行装车作业，装货完成后及时过磅出厂。</w:t>
      </w:r>
    </w:p>
    <w:p>
      <w:pPr>
        <w:tabs>
          <w:tab w:val="left" w:pos="425"/>
        </w:tabs>
        <w:spacing w:line="560" w:lineRule="exact"/>
        <w:ind w:firstLine="560" w:firstLineChars="200"/>
        <w:rPr>
          <w:rFonts w:hint="eastAsia" w:ascii="仿宋_GB2312" w:hAnsi="仿宋_GB2312" w:eastAsia="仿宋_GB2312" w:cs="仿宋_GB2312"/>
          <w:sz w:val="30"/>
          <w:szCs w:val="30"/>
        </w:rPr>
      </w:pPr>
      <w:r>
        <w:rPr>
          <w:rFonts w:hint="eastAsia" w:ascii="仿宋_GB2312" w:hAnsi="仿宋" w:eastAsia="仿宋_GB2312" w:cs="仿宋_GB2312"/>
          <w:sz w:val="28"/>
          <w:szCs w:val="28"/>
        </w:rPr>
        <w:t>我司同意按照竞卖公告中的要求及上述承诺，承担相应的责任，并向山东钢铁集团日照有限公司缴纳</w:t>
      </w:r>
      <w:r>
        <w:rPr>
          <w:rFonts w:hint="eastAsia" w:ascii="仿宋_GB2312" w:hAnsi="仿宋" w:eastAsia="仿宋_GB2312" w:cs="仿宋_GB2312"/>
          <w:sz w:val="28"/>
          <w:szCs w:val="28"/>
          <w:u w:val="single"/>
        </w:rPr>
        <w:t xml:space="preserve">         </w:t>
      </w:r>
      <w:r>
        <w:rPr>
          <w:rFonts w:hint="eastAsia" w:ascii="仿宋_GB2312" w:hAnsi="仿宋" w:eastAsia="仿宋_GB2312" w:cs="仿宋_GB2312"/>
          <w:sz w:val="28"/>
          <w:szCs w:val="28"/>
        </w:rPr>
        <w:t>元的预付订金。如我司不按时签署合同、缴纳所需款项，违反竞卖公告及已签订合同中的条款，都将按照违约予以处理，并全额扣除该预付订金。</w:t>
      </w:r>
    </w:p>
    <w:p>
      <w:pPr>
        <w:pStyle w:val="19"/>
        <w:ind w:firstLine="3900" w:firstLineChars="1300"/>
        <w:jc w:val="both"/>
        <w:rPr>
          <w:rFonts w:hint="eastAsia" w:ascii="仿宋_GB2312" w:hAnsi="仿宋_GB2312" w:eastAsia="仿宋_GB2312" w:cs="仿宋_GB2312"/>
          <w:b w:val="0"/>
          <w:sz w:val="30"/>
          <w:szCs w:val="30"/>
        </w:rPr>
      </w:pPr>
    </w:p>
    <w:p>
      <w:pPr>
        <w:pStyle w:val="19"/>
        <w:ind w:firstLine="3900" w:firstLineChars="1300"/>
        <w:jc w:val="both"/>
        <w:rPr>
          <w:rFonts w:hint="eastAsia" w:ascii="仿宋_GB2312" w:hAnsi="仿宋_GB2312" w:eastAsia="仿宋_GB2312" w:cs="仿宋_GB2312"/>
          <w:b w:val="0"/>
          <w:sz w:val="30"/>
          <w:szCs w:val="30"/>
        </w:rPr>
      </w:pPr>
    </w:p>
    <w:p>
      <w:pPr>
        <w:pStyle w:val="19"/>
        <w:ind w:left="0" w:leftChars="0" w:firstLine="4533" w:firstLineChars="1511"/>
        <w:jc w:val="both"/>
        <w:rPr>
          <w:rFonts w:hint="eastAsia" w:ascii="仿宋_GB2312" w:hAnsi="仿宋_GB2312" w:eastAsia="仿宋_GB2312" w:cs="仿宋_GB2312"/>
          <w:b w:val="0"/>
          <w:sz w:val="30"/>
          <w:szCs w:val="30"/>
        </w:rPr>
      </w:pPr>
      <w:r>
        <w:rPr>
          <w:rFonts w:hint="eastAsia" w:ascii="仿宋_GB2312" w:hAnsi="仿宋_GB2312" w:eastAsia="仿宋_GB2312" w:cs="仿宋_GB2312"/>
          <w:b w:val="0"/>
          <w:sz w:val="30"/>
          <w:szCs w:val="30"/>
        </w:rPr>
        <w:t>单位（公章）</w:t>
      </w:r>
    </w:p>
    <w:p>
      <w:pPr>
        <w:pStyle w:val="19"/>
        <w:spacing w:line="560" w:lineRule="exact"/>
        <w:ind w:left="0" w:leftChars="0" w:right="839" w:firstLine="4500" w:firstLineChars="1500"/>
        <w:jc w:val="both"/>
        <w:rPr>
          <w:rFonts w:hint="eastAsia" w:ascii="黑体" w:hAnsi="黑体" w:eastAsia="黑体"/>
          <w:b w:val="0"/>
          <w:bCs w:val="0"/>
          <w:spacing w:val="8"/>
          <w:sz w:val="32"/>
        </w:rPr>
      </w:pPr>
      <w:r>
        <w:rPr>
          <w:rFonts w:hint="eastAsia" w:ascii="仿宋_GB2312" w:hAnsi="仿宋_GB2312" w:eastAsia="仿宋_GB2312" w:cs="仿宋_GB2312"/>
          <w:b w:val="0"/>
          <w:sz w:val="30"/>
          <w:szCs w:val="30"/>
        </w:rPr>
        <w:t>日期：    年   月   日</w:t>
      </w:r>
    </w:p>
    <w:p>
      <w:pPr>
        <w:pStyle w:val="19"/>
        <w:spacing w:line="560" w:lineRule="exact"/>
        <w:ind w:left="0" w:leftChars="0" w:firstLine="0"/>
        <w:jc w:val="both"/>
        <w:rPr>
          <w:rFonts w:ascii="Arial"/>
          <w:sz w:val="2"/>
        </w:rPr>
      </w:pPr>
      <w:r>
        <w:rPr>
          <w:rFonts w:hint="eastAsia" w:ascii="黑体" w:hAnsi="黑体" w:eastAsia="黑体"/>
          <w:b w:val="0"/>
          <w:bCs w:val="0"/>
          <w:spacing w:val="8"/>
          <w:sz w:val="32"/>
        </w:rPr>
        <w:t>附件</w:t>
      </w:r>
      <w:bookmarkStart w:id="2" w:name="br3"/>
      <w:bookmarkEnd w:id="2"/>
      <w:r>
        <w:rPr>
          <w:rFonts w:hint="eastAsia" w:ascii="黑体" w:hAnsi="黑体" w:eastAsia="黑体"/>
          <w:b w:val="0"/>
          <w:bCs w:val="0"/>
          <w:spacing w:val="8"/>
          <w:sz w:val="32"/>
        </w:rPr>
        <w:t>2</w:t>
      </w:r>
      <w:r>
        <w:rPr>
          <w:rFonts w:ascii="Arial"/>
          <w:sz w:val="2"/>
        </w:rPr>
        <w:drawing>
          <wp:anchor distT="0" distB="0" distL="114300" distR="114300" simplePos="0" relativeHeight="251659264" behindDoc="1" locked="0" layoutInCell="1" allowOverlap="1">
            <wp:simplePos x="0" y="0"/>
            <wp:positionH relativeFrom="page">
              <wp:posOffset>1022350</wp:posOffset>
            </wp:positionH>
            <wp:positionV relativeFrom="page">
              <wp:posOffset>1729740</wp:posOffset>
            </wp:positionV>
            <wp:extent cx="5748655" cy="8371840"/>
            <wp:effectExtent l="0" t="0" r="4445" b="0"/>
            <wp:wrapNone/>
            <wp:docPr id="2" name="图片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age1"/>
                    <pic:cNvPicPr>
                      <a:picLocks noChangeAspect="1"/>
                    </pic:cNvPicPr>
                  </pic:nvPicPr>
                  <pic:blipFill>
                    <a:blip r:embed="rId5"/>
                    <a:stretch>
                      <a:fillRect/>
                    </a:stretch>
                  </pic:blipFill>
                  <pic:spPr>
                    <a:xfrm>
                      <a:off x="0" y="0"/>
                      <a:ext cx="5748655" cy="8371840"/>
                    </a:xfrm>
                    <a:prstGeom prst="rect">
                      <a:avLst/>
                    </a:prstGeom>
                    <a:noFill/>
                    <a:ln>
                      <a:noFill/>
                    </a:ln>
                  </pic:spPr>
                </pic:pic>
              </a:graphicData>
            </a:graphic>
          </wp:anchor>
        </w:drawing>
      </w:r>
      <w:r>
        <w:rPr>
          <w:rFonts w:hint="eastAsia" w:ascii="Arial"/>
          <w:sz w:val="2"/>
        </w:rPr>
        <w:t>df</w:t>
      </w:r>
      <w:r>
        <w:rPr>
          <w:rFonts w:ascii="Arial"/>
          <w:sz w:val="2"/>
        </w:rPr>
        <w:t xml:space="preserve"> </w:t>
      </w:r>
    </w:p>
    <w:p>
      <w:pPr>
        <w:spacing w:line="560" w:lineRule="exact"/>
        <w:rPr>
          <w:rFonts w:ascii="Arial"/>
          <w:sz w:val="2"/>
        </w:rPr>
      </w:pPr>
      <w:r>
        <w:rPr>
          <w:rFonts w:ascii="Arial"/>
          <w:sz w:val="2"/>
        </w:rPr>
        <w:br w:type="page"/>
      </w:r>
    </w:p>
    <w:p>
      <w:pPr>
        <w:spacing w:line="560" w:lineRule="exact"/>
        <w:rPr>
          <w:rFonts w:ascii="Arial"/>
          <w:sz w:val="2"/>
        </w:rPr>
      </w:pPr>
      <w:bookmarkStart w:id="3" w:name="br2"/>
      <w:bookmarkEnd w:id="3"/>
      <w:r>
        <w:rPr>
          <w:rFonts w:ascii="Arial"/>
          <w:sz w:val="2"/>
        </w:rPr>
        <w:drawing>
          <wp:anchor distT="0" distB="0" distL="114300" distR="114300" simplePos="0" relativeHeight="251660288" behindDoc="1" locked="0" layoutInCell="1" allowOverlap="1">
            <wp:simplePos x="0" y="0"/>
            <wp:positionH relativeFrom="page">
              <wp:posOffset>1026795</wp:posOffset>
            </wp:positionH>
            <wp:positionV relativeFrom="page">
              <wp:posOffset>1128395</wp:posOffset>
            </wp:positionV>
            <wp:extent cx="5725160" cy="8338185"/>
            <wp:effectExtent l="0" t="0" r="8890" b="5715"/>
            <wp:wrapNone/>
            <wp:docPr id="1" name="图片 1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age2"/>
                    <pic:cNvPicPr>
                      <a:picLocks noChangeAspect="1"/>
                    </pic:cNvPicPr>
                  </pic:nvPicPr>
                  <pic:blipFill>
                    <a:blip r:embed="rId6"/>
                    <a:stretch>
                      <a:fillRect/>
                    </a:stretch>
                  </pic:blipFill>
                  <pic:spPr>
                    <a:xfrm>
                      <a:off x="0" y="0"/>
                      <a:ext cx="5725160" cy="8338185"/>
                    </a:xfrm>
                    <a:prstGeom prst="rect">
                      <a:avLst/>
                    </a:prstGeom>
                    <a:noFill/>
                    <a:ln>
                      <a:noFill/>
                    </a:ln>
                  </pic:spPr>
                </pic:pic>
              </a:graphicData>
            </a:graphic>
          </wp:anchor>
        </w:drawing>
      </w:r>
      <w:r>
        <w:rPr>
          <w:rFonts w:ascii="Arial"/>
          <w:sz w:val="2"/>
        </w:rPr>
        <w:t xml:space="preserve"> </w:t>
      </w:r>
    </w:p>
    <w:p>
      <w:pPr>
        <w:spacing w:line="560" w:lineRule="exact"/>
        <w:rPr>
          <w:rFonts w:ascii="Arial"/>
          <w:sz w:val="2"/>
        </w:rPr>
      </w:pPr>
      <w:r>
        <w:rPr>
          <w:rFonts w:ascii="Arial"/>
          <w:sz w:val="2"/>
        </w:rPr>
        <w:br w:type="page"/>
      </w:r>
    </w:p>
    <w:p>
      <w:pPr>
        <w:spacing w:line="560" w:lineRule="exact"/>
        <w:rPr>
          <w:rFonts w:ascii="Arial"/>
          <w:sz w:val="2"/>
        </w:rPr>
      </w:pPr>
      <w:r>
        <w:rPr>
          <w:rFonts w:ascii="Arial"/>
          <w:sz w:val="2"/>
        </w:rPr>
        <w:drawing>
          <wp:anchor distT="0" distB="0" distL="114300" distR="114300" simplePos="0" relativeHeight="251661312" behindDoc="1" locked="0" layoutInCell="1" allowOverlap="1">
            <wp:simplePos x="0" y="0"/>
            <wp:positionH relativeFrom="page">
              <wp:posOffset>996950</wp:posOffset>
            </wp:positionH>
            <wp:positionV relativeFrom="page">
              <wp:posOffset>1192530</wp:posOffset>
            </wp:positionV>
            <wp:extent cx="5708015" cy="8312785"/>
            <wp:effectExtent l="0" t="0" r="6985" b="12065"/>
            <wp:wrapNone/>
            <wp:docPr id="3" name="图片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age3"/>
                    <pic:cNvPicPr>
                      <a:picLocks noChangeAspect="1"/>
                    </pic:cNvPicPr>
                  </pic:nvPicPr>
                  <pic:blipFill>
                    <a:blip r:embed="rId7"/>
                    <a:stretch>
                      <a:fillRect/>
                    </a:stretch>
                  </pic:blipFill>
                  <pic:spPr>
                    <a:xfrm>
                      <a:off x="0" y="0"/>
                      <a:ext cx="5708015" cy="8312785"/>
                    </a:xfrm>
                    <a:prstGeom prst="rect">
                      <a:avLst/>
                    </a:prstGeom>
                    <a:noFill/>
                    <a:ln>
                      <a:noFill/>
                    </a:ln>
                  </pic:spPr>
                </pic:pic>
              </a:graphicData>
            </a:graphic>
          </wp:anchor>
        </w:drawing>
      </w:r>
      <w:r>
        <w:rPr>
          <w:rFonts w:ascii="Arial"/>
          <w:sz w:val="2"/>
        </w:rPr>
        <w:t xml:space="preserve"> </w:t>
      </w:r>
    </w:p>
    <w:p>
      <w:pPr>
        <w:spacing w:line="560" w:lineRule="exact"/>
        <w:rPr>
          <w:rFonts w:ascii="Arial"/>
          <w:sz w:val="2"/>
        </w:rPr>
      </w:pPr>
      <w:r>
        <w:rPr>
          <w:rFonts w:ascii="Arial"/>
          <w:sz w:val="2"/>
        </w:rPr>
        <w:br w:type="page"/>
      </w:r>
    </w:p>
    <w:p>
      <w:pPr>
        <w:spacing w:line="560" w:lineRule="exact"/>
        <w:rPr>
          <w:rFonts w:ascii="Arial"/>
          <w:sz w:val="2"/>
        </w:rPr>
      </w:pPr>
      <w:r>
        <w:rPr>
          <w:sz w:val="30"/>
        </w:rPr>
        <w:drawing>
          <wp:anchor distT="0" distB="0" distL="114300" distR="114300" simplePos="0" relativeHeight="251662336" behindDoc="1" locked="0" layoutInCell="1" allowOverlap="1">
            <wp:simplePos x="0" y="0"/>
            <wp:positionH relativeFrom="page">
              <wp:posOffset>953770</wp:posOffset>
            </wp:positionH>
            <wp:positionV relativeFrom="page">
              <wp:posOffset>1125220</wp:posOffset>
            </wp:positionV>
            <wp:extent cx="5732780" cy="8349615"/>
            <wp:effectExtent l="0" t="0" r="1270" b="13335"/>
            <wp:wrapNone/>
            <wp:docPr id="4" name="图片 1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image4"/>
                    <pic:cNvPicPr>
                      <a:picLocks noChangeAspect="1"/>
                    </pic:cNvPicPr>
                  </pic:nvPicPr>
                  <pic:blipFill>
                    <a:blip r:embed="rId8"/>
                    <a:stretch>
                      <a:fillRect/>
                    </a:stretch>
                  </pic:blipFill>
                  <pic:spPr>
                    <a:xfrm>
                      <a:off x="0" y="0"/>
                      <a:ext cx="5732780" cy="8349615"/>
                    </a:xfrm>
                    <a:prstGeom prst="rect">
                      <a:avLst/>
                    </a:prstGeom>
                    <a:noFill/>
                    <a:ln>
                      <a:noFill/>
                    </a:ln>
                  </pic:spPr>
                </pic:pic>
              </a:graphicData>
            </a:graphic>
          </wp:anchor>
        </w:drawing>
      </w:r>
    </w:p>
    <w:p>
      <w:pPr>
        <w:spacing w:line="560" w:lineRule="exact"/>
        <w:rPr>
          <w:rFonts w:ascii="Arial"/>
          <w:sz w:val="2"/>
        </w:rPr>
      </w:pPr>
    </w:p>
    <w:p>
      <w:pPr>
        <w:spacing w:line="560" w:lineRule="exact"/>
        <w:rPr>
          <w:rFonts w:ascii="Arial"/>
          <w:sz w:val="2"/>
        </w:rPr>
      </w:pPr>
    </w:p>
    <w:p>
      <w:pPr>
        <w:spacing w:line="560" w:lineRule="exact"/>
        <w:rPr>
          <w:rFonts w:ascii="Arial"/>
          <w:sz w:val="2"/>
        </w:rPr>
      </w:pPr>
    </w:p>
    <w:p>
      <w:pPr>
        <w:spacing w:line="560" w:lineRule="exact"/>
        <w:rPr>
          <w:rFonts w:ascii="Arial"/>
          <w:sz w:val="2"/>
        </w:rPr>
      </w:pPr>
    </w:p>
    <w:p>
      <w:pPr>
        <w:spacing w:line="560" w:lineRule="exact"/>
        <w:rPr>
          <w:rFonts w:ascii="Arial"/>
          <w:sz w:val="2"/>
        </w:rPr>
      </w:pPr>
    </w:p>
    <w:p>
      <w:pPr>
        <w:spacing w:line="560" w:lineRule="exact"/>
        <w:rPr>
          <w:rFonts w:ascii="Arial"/>
          <w:sz w:val="2"/>
        </w:rPr>
      </w:pPr>
    </w:p>
    <w:p>
      <w:pPr>
        <w:spacing w:line="560" w:lineRule="exact"/>
        <w:rPr>
          <w:rFonts w:ascii="Arial"/>
          <w:sz w:val="2"/>
        </w:rPr>
      </w:pPr>
    </w:p>
    <w:p>
      <w:pPr>
        <w:spacing w:line="560" w:lineRule="exact"/>
        <w:rPr>
          <w:rFonts w:ascii="Arial"/>
          <w:sz w:val="2"/>
        </w:rPr>
      </w:pPr>
      <w:r>
        <w:rPr>
          <w:rFonts w:ascii="Arial"/>
          <w:sz w:val="2"/>
        </w:rPr>
        <w:t xml:space="preserve"> </w:t>
      </w:r>
    </w:p>
    <w:p>
      <w:pPr>
        <w:spacing w:line="560" w:lineRule="exact"/>
        <w:rPr>
          <w:rFonts w:ascii="Arial"/>
          <w:sz w:val="2"/>
        </w:rPr>
      </w:pPr>
    </w:p>
    <w:p>
      <w:pPr>
        <w:pStyle w:val="2"/>
        <w:spacing w:line="560" w:lineRule="exact"/>
        <w:rPr>
          <w:rFonts w:hint="eastAsia"/>
          <w:sz w:val="30"/>
        </w:rPr>
      </w:pPr>
    </w:p>
    <w:p>
      <w:pPr>
        <w:pStyle w:val="2"/>
        <w:spacing w:line="560" w:lineRule="exact"/>
        <w:rPr>
          <w:rFonts w:hint="eastAsia"/>
          <w:sz w:val="30"/>
        </w:rPr>
      </w:pPr>
    </w:p>
    <w:p>
      <w:pPr>
        <w:pStyle w:val="2"/>
        <w:spacing w:line="560" w:lineRule="exact"/>
        <w:rPr>
          <w:rFonts w:hint="eastAsia"/>
          <w:sz w:val="30"/>
        </w:rPr>
      </w:pPr>
    </w:p>
    <w:p>
      <w:pPr>
        <w:pStyle w:val="2"/>
        <w:spacing w:line="560" w:lineRule="exact"/>
        <w:rPr>
          <w:rFonts w:hint="eastAsia"/>
          <w:sz w:val="30"/>
        </w:rPr>
      </w:pPr>
    </w:p>
    <w:p>
      <w:pPr>
        <w:pStyle w:val="2"/>
        <w:spacing w:line="560" w:lineRule="exact"/>
        <w:rPr>
          <w:rFonts w:hint="eastAsia"/>
          <w:sz w:val="30"/>
        </w:rPr>
      </w:pPr>
    </w:p>
    <w:p>
      <w:pPr>
        <w:pStyle w:val="2"/>
        <w:spacing w:line="560" w:lineRule="exact"/>
        <w:rPr>
          <w:rFonts w:hint="eastAsia"/>
          <w:sz w:val="30"/>
        </w:rPr>
      </w:pPr>
    </w:p>
    <w:p>
      <w:pPr>
        <w:pStyle w:val="2"/>
        <w:spacing w:line="560" w:lineRule="exact"/>
        <w:rPr>
          <w:rFonts w:hint="eastAsia"/>
          <w:sz w:val="30"/>
        </w:rPr>
      </w:pPr>
    </w:p>
    <w:p>
      <w:pPr>
        <w:pStyle w:val="2"/>
        <w:spacing w:line="560" w:lineRule="exact"/>
        <w:rPr>
          <w:rFonts w:hint="eastAsia"/>
          <w:sz w:val="30"/>
        </w:rPr>
      </w:pPr>
    </w:p>
    <w:p>
      <w:pPr>
        <w:pStyle w:val="2"/>
        <w:spacing w:line="560" w:lineRule="exact"/>
        <w:rPr>
          <w:rFonts w:hint="eastAsia"/>
          <w:sz w:val="30"/>
        </w:rPr>
      </w:pPr>
    </w:p>
    <w:p>
      <w:pPr>
        <w:pStyle w:val="2"/>
        <w:spacing w:line="560" w:lineRule="exact"/>
        <w:rPr>
          <w:rFonts w:hint="eastAsia"/>
          <w:sz w:val="30"/>
        </w:rPr>
      </w:pPr>
    </w:p>
    <w:p>
      <w:pPr>
        <w:pStyle w:val="2"/>
        <w:spacing w:line="560" w:lineRule="exact"/>
        <w:rPr>
          <w:rFonts w:hint="eastAsia"/>
          <w:sz w:val="30"/>
        </w:rPr>
      </w:pPr>
    </w:p>
    <w:p>
      <w:pPr>
        <w:pStyle w:val="19"/>
        <w:spacing w:line="560" w:lineRule="exact"/>
        <w:ind w:left="0" w:leftChars="0" w:firstLine="0"/>
        <w:jc w:val="both"/>
      </w:pPr>
    </w:p>
    <w:p>
      <w:pPr>
        <w:pStyle w:val="19"/>
        <w:spacing w:line="560" w:lineRule="exact"/>
        <w:ind w:left="0" w:leftChars="0" w:firstLine="0"/>
        <w:jc w:val="both"/>
        <w:rPr>
          <w:rFonts w:hint="eastAsia" w:ascii="黑体" w:hAnsi="黑体" w:eastAsia="黑体"/>
          <w:b w:val="0"/>
          <w:bCs w:val="0"/>
          <w:spacing w:val="8"/>
          <w:sz w:val="32"/>
        </w:rPr>
      </w:pPr>
      <w:r>
        <w:rPr>
          <w:rFonts w:ascii="黑体" w:hAnsi="黑体" w:eastAsia="黑体"/>
          <w:b w:val="0"/>
          <w:bCs w:val="0"/>
          <w:spacing w:val="8"/>
          <w:sz w:val="32"/>
        </w:rPr>
        <w:drawing>
          <wp:anchor distT="0" distB="0" distL="114300" distR="114300" simplePos="0" relativeHeight="251664384" behindDoc="0" locked="0" layoutInCell="1" allowOverlap="1">
            <wp:simplePos x="0" y="0"/>
            <wp:positionH relativeFrom="column">
              <wp:posOffset>0</wp:posOffset>
            </wp:positionH>
            <wp:positionV relativeFrom="paragraph">
              <wp:posOffset>438150</wp:posOffset>
            </wp:positionV>
            <wp:extent cx="5273675" cy="6724650"/>
            <wp:effectExtent l="0" t="0" r="3175" b="0"/>
            <wp:wrapSquare wrapText="bothSides"/>
            <wp:docPr id="5" name="图片 1" descr="一般工业固体废物贮存和填埋污染控制标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一般工业固体废物贮存和填埋污染控制标准_00"/>
                    <pic:cNvPicPr>
                      <a:picLocks noChangeAspect="1"/>
                    </pic:cNvPicPr>
                  </pic:nvPicPr>
                  <pic:blipFill>
                    <a:blip r:embed="rId9">
                      <a:extLst>
                        <a:ext uri="{28A0092B-C50C-407E-A947-70E740481C1C}">
                          <a14:useLocalDpi xmlns:a14="http://schemas.microsoft.com/office/drawing/2010/main" val="0"/>
                        </a:ext>
                      </a:extLst>
                    </a:blip>
                    <a:srcRect t="3195" b="6585"/>
                    <a:stretch>
                      <a:fillRect/>
                    </a:stretch>
                  </pic:blipFill>
                  <pic:spPr>
                    <a:xfrm>
                      <a:off x="0" y="0"/>
                      <a:ext cx="5273675" cy="6724650"/>
                    </a:xfrm>
                    <a:prstGeom prst="rect">
                      <a:avLst/>
                    </a:prstGeom>
                    <a:noFill/>
                    <a:ln>
                      <a:noFill/>
                    </a:ln>
                  </pic:spPr>
                </pic:pic>
              </a:graphicData>
            </a:graphic>
          </wp:anchor>
        </w:drawing>
      </w:r>
      <w:r>
        <w:rPr>
          <w:rFonts w:hint="eastAsia" w:ascii="黑体" w:hAnsi="黑体" w:eastAsia="黑体"/>
          <w:b w:val="0"/>
          <w:bCs w:val="0"/>
          <w:spacing w:val="8"/>
          <w:sz w:val="32"/>
        </w:rPr>
        <w:t>附件3</w:t>
      </w:r>
    </w:p>
    <w:p>
      <w:pPr>
        <w:spacing w:line="0" w:lineRule="atLeast"/>
        <w:jc w:val="left"/>
      </w:pPr>
    </w:p>
    <w:p>
      <w:pPr>
        <w:pStyle w:val="19"/>
        <w:ind w:left="0" w:leftChars="0" w:firstLine="0"/>
        <w:jc w:val="both"/>
      </w:pPr>
    </w:p>
    <w:p>
      <w:pPr>
        <w:pStyle w:val="6"/>
        <w:pBdr>
          <w:bottom w:val="none" w:color="auto" w:sz="0" w:space="0"/>
        </w:pBdr>
        <w:jc w:val="both"/>
        <w:rPr>
          <w:rFonts w:eastAsia="隶书"/>
          <w:spacing w:val="8"/>
          <w:sz w:val="32"/>
        </w:rPr>
      </w:pPr>
    </w:p>
    <w:p>
      <w:pPr>
        <w:pStyle w:val="6"/>
        <w:pBdr>
          <w:bottom w:val="none" w:color="auto" w:sz="0" w:space="0"/>
        </w:pBdr>
        <w:jc w:val="both"/>
        <w:rPr>
          <w:rFonts w:eastAsia="隶书"/>
          <w:spacing w:val="8"/>
          <w:sz w:val="32"/>
        </w:rPr>
      </w:pPr>
    </w:p>
    <w:p>
      <w:pPr>
        <w:pStyle w:val="6"/>
        <w:pBdr>
          <w:bottom w:val="none" w:color="auto" w:sz="0" w:space="0"/>
        </w:pBdr>
        <w:jc w:val="both"/>
        <w:rPr>
          <w:rFonts w:eastAsia="隶书"/>
          <w:spacing w:val="8"/>
          <w:sz w:val="32"/>
        </w:rPr>
      </w:pPr>
      <w:r>
        <w:rPr>
          <w:rFonts w:eastAsia="隶书"/>
          <w:spacing w:val="8"/>
          <w:sz w:val="32"/>
        </w:rPr>
        <w:drawing>
          <wp:anchor distT="0" distB="0" distL="114300" distR="114300" simplePos="0" relativeHeight="251663360" behindDoc="0" locked="0" layoutInCell="1" allowOverlap="1">
            <wp:simplePos x="0" y="0"/>
            <wp:positionH relativeFrom="column">
              <wp:posOffset>34925</wp:posOffset>
            </wp:positionH>
            <wp:positionV relativeFrom="paragraph">
              <wp:posOffset>211455</wp:posOffset>
            </wp:positionV>
            <wp:extent cx="5694045" cy="3724275"/>
            <wp:effectExtent l="0" t="0" r="1905" b="9525"/>
            <wp:wrapSquare wrapText="bothSides"/>
            <wp:docPr id="13" name="图片 2" descr="一般工业固体废物贮存和填埋污染控制标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一般工业固体废物贮存和填埋污染控制标准_01"/>
                    <pic:cNvPicPr>
                      <a:picLocks noChangeAspect="1"/>
                    </pic:cNvPicPr>
                  </pic:nvPicPr>
                  <pic:blipFill>
                    <a:blip r:embed="rId10">
                      <a:extLst>
                        <a:ext uri="{28A0092B-C50C-407E-A947-70E740481C1C}">
                          <a14:useLocalDpi xmlns:a14="http://schemas.microsoft.com/office/drawing/2010/main" val="0"/>
                        </a:ext>
                      </a:extLst>
                    </a:blip>
                    <a:srcRect l="6123" t="8179" b="48378"/>
                    <a:stretch>
                      <a:fillRect/>
                    </a:stretch>
                  </pic:blipFill>
                  <pic:spPr>
                    <a:xfrm>
                      <a:off x="0" y="0"/>
                      <a:ext cx="5694045" cy="3724275"/>
                    </a:xfrm>
                    <a:prstGeom prst="rect">
                      <a:avLst/>
                    </a:prstGeom>
                    <a:noFill/>
                    <a:ln>
                      <a:noFill/>
                    </a:ln>
                  </pic:spPr>
                </pic:pic>
              </a:graphicData>
            </a:graphic>
          </wp:anchor>
        </w:drawing>
      </w: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p>
    <w:p>
      <w:pPr>
        <w:pStyle w:val="6"/>
        <w:pBdr>
          <w:bottom w:val="none" w:color="auto" w:sz="0" w:space="0"/>
        </w:pBdr>
        <w:rPr>
          <w:rFonts w:eastAsia="隶书"/>
          <w:spacing w:val="8"/>
          <w:sz w:val="32"/>
        </w:rPr>
      </w:pPr>
      <w:r>
        <w:rPr>
          <w:rFonts w:eastAsia="隶书"/>
          <w:spacing w:val="8"/>
          <w:sz w:val="32"/>
        </w:rPr>
        <w:drawing>
          <wp:anchor distT="0" distB="0" distL="114300" distR="114300" simplePos="0" relativeHeight="251665408" behindDoc="0" locked="0" layoutInCell="1" allowOverlap="1">
            <wp:simplePos x="0" y="0"/>
            <wp:positionH relativeFrom="column">
              <wp:posOffset>-69850</wp:posOffset>
            </wp:positionH>
            <wp:positionV relativeFrom="paragraph">
              <wp:posOffset>0</wp:posOffset>
            </wp:positionV>
            <wp:extent cx="5849620" cy="8267700"/>
            <wp:effectExtent l="0" t="0" r="0" b="0"/>
            <wp:wrapSquare wrapText="bothSides"/>
            <wp:docPr id="14" name="图片 3" descr="一般工业固体废物贮存和填埋污染控制标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一般工业固体废物贮存和填埋污染控制标准_0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49655" cy="8267700"/>
                    </a:xfrm>
                    <a:prstGeom prst="rect">
                      <a:avLst/>
                    </a:prstGeom>
                    <a:noFill/>
                    <a:ln>
                      <a:noFill/>
                    </a:ln>
                  </pic:spPr>
                </pic:pic>
              </a:graphicData>
            </a:graphic>
          </wp:anchor>
        </w:drawing>
      </w:r>
      <w:r>
        <w:rPr>
          <w:rFonts w:eastAsia="隶书"/>
          <w:spacing w:val="8"/>
          <w:sz w:val="32"/>
        </w:rPr>
        <w:drawing>
          <wp:inline distT="0" distB="0" distL="114300" distR="114300">
            <wp:extent cx="5410200" cy="8244840"/>
            <wp:effectExtent l="0" t="0" r="0" b="3810"/>
            <wp:docPr id="17" name="图片 4" descr="一般工业固体废物贮存和填埋污染控制标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一般工业固体废物贮存和填埋污染控制标准_03"/>
                    <pic:cNvPicPr>
                      <a:picLocks noChangeAspect="1"/>
                    </pic:cNvPicPr>
                  </pic:nvPicPr>
                  <pic:blipFill>
                    <a:blip r:embed="rId12"/>
                    <a:srcRect l="7225" t="3578" r="6261" b="3135"/>
                    <a:stretch>
                      <a:fillRect/>
                    </a:stretch>
                  </pic:blipFill>
                  <pic:spPr>
                    <a:xfrm>
                      <a:off x="0" y="0"/>
                      <a:ext cx="5410200" cy="8245190"/>
                    </a:xfrm>
                    <a:prstGeom prst="rect">
                      <a:avLst/>
                    </a:prstGeom>
                    <a:noFill/>
                    <a:ln>
                      <a:noFill/>
                    </a:ln>
                  </pic:spPr>
                </pic:pic>
              </a:graphicData>
            </a:graphic>
          </wp:inline>
        </w:drawing>
      </w:r>
      <w:r>
        <w:rPr>
          <w:rFonts w:eastAsia="隶书"/>
          <w:spacing w:val="8"/>
          <w:sz w:val="32"/>
        </w:rPr>
        <w:drawing>
          <wp:inline distT="0" distB="0" distL="114300" distR="114300">
            <wp:extent cx="5410200" cy="8244840"/>
            <wp:effectExtent l="0" t="0" r="0" b="3810"/>
            <wp:docPr id="15" name="图片 4" descr="一般工业固体废物贮存和填埋污染控制标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一般工业固体废物贮存和填埋污染控制标准_03"/>
                    <pic:cNvPicPr>
                      <a:picLocks noChangeAspect="1"/>
                    </pic:cNvPicPr>
                  </pic:nvPicPr>
                  <pic:blipFill>
                    <a:blip r:embed="rId12"/>
                    <a:srcRect l="7225" t="3578" r="6261" b="3135"/>
                    <a:stretch>
                      <a:fillRect/>
                    </a:stretch>
                  </pic:blipFill>
                  <pic:spPr>
                    <a:xfrm>
                      <a:off x="0" y="0"/>
                      <a:ext cx="5410200" cy="8245190"/>
                    </a:xfrm>
                    <a:prstGeom prst="rect">
                      <a:avLst/>
                    </a:prstGeom>
                    <a:noFill/>
                    <a:ln>
                      <a:noFill/>
                    </a:ln>
                  </pic:spPr>
                </pic:pic>
              </a:graphicData>
            </a:graphic>
          </wp:inline>
        </w:drawing>
      </w:r>
      <w:r>
        <w:rPr>
          <w:rFonts w:eastAsia="隶书"/>
          <w:spacing w:val="8"/>
          <w:sz w:val="32"/>
        </w:rPr>
        <w:drawing>
          <wp:inline distT="0" distB="0" distL="114300" distR="114300">
            <wp:extent cx="5273675" cy="7453630"/>
            <wp:effectExtent l="0" t="0" r="9525" b="1270"/>
            <wp:docPr id="16" name="图片 5" descr="一般工业固体废物贮存和填埋污染控制标准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一般工业固体废物贮存和填埋污染控制标准_04"/>
                    <pic:cNvPicPr>
                      <a:picLocks noChangeAspect="1"/>
                    </pic:cNvPicPr>
                  </pic:nvPicPr>
                  <pic:blipFill>
                    <a:blip r:embed="rId13"/>
                    <a:stretch>
                      <a:fillRect/>
                    </a:stretch>
                  </pic:blipFill>
                  <pic:spPr>
                    <a:xfrm>
                      <a:off x="0" y="0"/>
                      <a:ext cx="5273675" cy="7453630"/>
                    </a:xfrm>
                    <a:prstGeom prst="rect">
                      <a:avLst/>
                    </a:prstGeom>
                    <a:noFill/>
                    <a:ln>
                      <a:noFill/>
                    </a:ln>
                  </pic:spPr>
                </pic:pic>
              </a:graphicData>
            </a:graphic>
          </wp:inline>
        </w:drawing>
      </w:r>
      <w:r>
        <w:rPr>
          <w:rFonts w:eastAsia="隶书"/>
          <w:spacing w:val="8"/>
          <w:sz w:val="32"/>
        </w:rPr>
        <w:drawing>
          <wp:inline distT="0" distB="0" distL="114300" distR="114300">
            <wp:extent cx="5273675" cy="7453630"/>
            <wp:effectExtent l="0" t="0" r="9525" b="1270"/>
            <wp:docPr id="6" name="图片 6" descr="一般工业固体废物贮存和填埋污染控制标准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般工业固体废物贮存和填埋污染控制标准_05"/>
                    <pic:cNvPicPr>
                      <a:picLocks noChangeAspect="1"/>
                    </pic:cNvPicPr>
                  </pic:nvPicPr>
                  <pic:blipFill>
                    <a:blip r:embed="rId14"/>
                    <a:stretch>
                      <a:fillRect/>
                    </a:stretch>
                  </pic:blipFill>
                  <pic:spPr>
                    <a:xfrm>
                      <a:off x="0" y="0"/>
                      <a:ext cx="5273675" cy="7453630"/>
                    </a:xfrm>
                    <a:prstGeom prst="rect">
                      <a:avLst/>
                    </a:prstGeom>
                    <a:noFill/>
                    <a:ln>
                      <a:noFill/>
                    </a:ln>
                  </pic:spPr>
                </pic:pic>
              </a:graphicData>
            </a:graphic>
          </wp:inline>
        </w:drawing>
      </w:r>
      <w:r>
        <w:rPr>
          <w:rFonts w:eastAsia="隶书"/>
          <w:spacing w:val="8"/>
          <w:sz w:val="32"/>
        </w:rPr>
        <w:drawing>
          <wp:inline distT="0" distB="0" distL="114300" distR="114300">
            <wp:extent cx="5273675" cy="7453630"/>
            <wp:effectExtent l="0" t="0" r="9525" b="1270"/>
            <wp:docPr id="8" name="图片 7" descr="一般工业固体废物贮存和填埋污染控制标准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一般工业固体废物贮存和填埋污染控制标准_06"/>
                    <pic:cNvPicPr>
                      <a:picLocks noChangeAspect="1"/>
                    </pic:cNvPicPr>
                  </pic:nvPicPr>
                  <pic:blipFill>
                    <a:blip r:embed="rId15"/>
                    <a:stretch>
                      <a:fillRect/>
                    </a:stretch>
                  </pic:blipFill>
                  <pic:spPr>
                    <a:xfrm>
                      <a:off x="0" y="0"/>
                      <a:ext cx="5273675" cy="7453630"/>
                    </a:xfrm>
                    <a:prstGeom prst="rect">
                      <a:avLst/>
                    </a:prstGeom>
                    <a:noFill/>
                    <a:ln>
                      <a:noFill/>
                    </a:ln>
                  </pic:spPr>
                </pic:pic>
              </a:graphicData>
            </a:graphic>
          </wp:inline>
        </w:drawing>
      </w:r>
      <w:r>
        <w:rPr>
          <w:rFonts w:eastAsia="隶书"/>
          <w:spacing w:val="8"/>
          <w:sz w:val="32"/>
        </w:rPr>
        <w:drawing>
          <wp:inline distT="0" distB="0" distL="114300" distR="114300">
            <wp:extent cx="5273675" cy="7453630"/>
            <wp:effectExtent l="0" t="0" r="9525" b="1270"/>
            <wp:docPr id="9" name="图片 8" descr="一般工业固体废物贮存和填埋污染控制标准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一般工业固体废物贮存和填埋污染控制标准_07"/>
                    <pic:cNvPicPr>
                      <a:picLocks noChangeAspect="1"/>
                    </pic:cNvPicPr>
                  </pic:nvPicPr>
                  <pic:blipFill>
                    <a:blip r:embed="rId16"/>
                    <a:stretch>
                      <a:fillRect/>
                    </a:stretch>
                  </pic:blipFill>
                  <pic:spPr>
                    <a:xfrm>
                      <a:off x="0" y="0"/>
                      <a:ext cx="5273675" cy="7453630"/>
                    </a:xfrm>
                    <a:prstGeom prst="rect">
                      <a:avLst/>
                    </a:prstGeom>
                    <a:noFill/>
                    <a:ln>
                      <a:noFill/>
                    </a:ln>
                  </pic:spPr>
                </pic:pic>
              </a:graphicData>
            </a:graphic>
          </wp:inline>
        </w:drawing>
      </w:r>
      <w:r>
        <w:rPr>
          <w:rFonts w:eastAsia="隶书"/>
          <w:spacing w:val="8"/>
          <w:sz w:val="32"/>
        </w:rPr>
        <w:drawing>
          <wp:inline distT="0" distB="0" distL="114300" distR="114300">
            <wp:extent cx="5273675" cy="7453630"/>
            <wp:effectExtent l="0" t="0" r="9525" b="1270"/>
            <wp:docPr id="7" name="图片 9" descr="一般工业固体废物贮存和填埋污染控制标准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一般工业固体废物贮存和填埋污染控制标准_08"/>
                    <pic:cNvPicPr>
                      <a:picLocks noChangeAspect="1"/>
                    </pic:cNvPicPr>
                  </pic:nvPicPr>
                  <pic:blipFill>
                    <a:blip r:embed="rId17"/>
                    <a:stretch>
                      <a:fillRect/>
                    </a:stretch>
                  </pic:blipFill>
                  <pic:spPr>
                    <a:xfrm>
                      <a:off x="0" y="0"/>
                      <a:ext cx="5273675" cy="7453630"/>
                    </a:xfrm>
                    <a:prstGeom prst="rect">
                      <a:avLst/>
                    </a:prstGeom>
                    <a:noFill/>
                    <a:ln>
                      <a:noFill/>
                    </a:ln>
                  </pic:spPr>
                </pic:pic>
              </a:graphicData>
            </a:graphic>
          </wp:inline>
        </w:drawing>
      </w:r>
      <w:r>
        <w:rPr>
          <w:rFonts w:eastAsia="隶书"/>
          <w:spacing w:val="8"/>
          <w:sz w:val="32"/>
        </w:rPr>
        <w:drawing>
          <wp:inline distT="0" distB="0" distL="114300" distR="114300">
            <wp:extent cx="5273675" cy="7453630"/>
            <wp:effectExtent l="0" t="0" r="9525" b="1270"/>
            <wp:docPr id="10" name="图片 10" descr="一般工业固体废物贮存和填埋污染控制标准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般工业固体废物贮存和填埋污染控制标准_09"/>
                    <pic:cNvPicPr>
                      <a:picLocks noChangeAspect="1"/>
                    </pic:cNvPicPr>
                  </pic:nvPicPr>
                  <pic:blipFill>
                    <a:blip r:embed="rId18"/>
                    <a:stretch>
                      <a:fillRect/>
                    </a:stretch>
                  </pic:blipFill>
                  <pic:spPr>
                    <a:xfrm>
                      <a:off x="0" y="0"/>
                      <a:ext cx="5273675" cy="7453630"/>
                    </a:xfrm>
                    <a:prstGeom prst="rect">
                      <a:avLst/>
                    </a:prstGeom>
                    <a:noFill/>
                    <a:ln>
                      <a:noFill/>
                    </a:ln>
                  </pic:spPr>
                </pic:pic>
              </a:graphicData>
            </a:graphic>
          </wp:inline>
        </w:drawing>
      </w:r>
      <w:r>
        <w:rPr>
          <w:rFonts w:eastAsia="隶书"/>
          <w:spacing w:val="8"/>
          <w:sz w:val="32"/>
        </w:rPr>
        <w:drawing>
          <wp:inline distT="0" distB="0" distL="114300" distR="114300">
            <wp:extent cx="5273675" cy="7453630"/>
            <wp:effectExtent l="0" t="0" r="9525" b="1270"/>
            <wp:docPr id="11" name="图片 11" descr="一般工业固体废物贮存和填埋污染控制标准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般工业固体废物贮存和填埋污染控制标准_10"/>
                    <pic:cNvPicPr>
                      <a:picLocks noChangeAspect="1"/>
                    </pic:cNvPicPr>
                  </pic:nvPicPr>
                  <pic:blipFill>
                    <a:blip r:embed="rId19"/>
                    <a:stretch>
                      <a:fillRect/>
                    </a:stretch>
                  </pic:blipFill>
                  <pic:spPr>
                    <a:xfrm>
                      <a:off x="0" y="0"/>
                      <a:ext cx="5273675" cy="7453630"/>
                    </a:xfrm>
                    <a:prstGeom prst="rect">
                      <a:avLst/>
                    </a:prstGeom>
                    <a:noFill/>
                    <a:ln>
                      <a:noFill/>
                    </a:ln>
                  </pic:spPr>
                </pic:pic>
              </a:graphicData>
            </a:graphic>
          </wp:inline>
        </w:drawing>
      </w:r>
      <w:r>
        <w:rPr>
          <w:rFonts w:eastAsia="隶书"/>
          <w:spacing w:val="8"/>
          <w:sz w:val="32"/>
        </w:rPr>
        <w:drawing>
          <wp:inline distT="0" distB="0" distL="114300" distR="114300">
            <wp:extent cx="5273675" cy="7453630"/>
            <wp:effectExtent l="0" t="0" r="9525" b="1270"/>
            <wp:docPr id="12" name="图片 12" descr="一般工业固体废物贮存和填埋污染控制标准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一般工业固体废物贮存和填埋污染控制标准_11"/>
                    <pic:cNvPicPr>
                      <a:picLocks noChangeAspect="1"/>
                    </pic:cNvPicPr>
                  </pic:nvPicPr>
                  <pic:blipFill>
                    <a:blip r:embed="rId20"/>
                    <a:stretch>
                      <a:fillRect/>
                    </a:stretch>
                  </pic:blipFill>
                  <pic:spPr>
                    <a:xfrm>
                      <a:off x="0" y="0"/>
                      <a:ext cx="5273675" cy="7453630"/>
                    </a:xfrm>
                    <a:prstGeom prst="rect">
                      <a:avLst/>
                    </a:prstGeom>
                    <a:noFill/>
                    <a:ln>
                      <a:noFill/>
                    </a:ln>
                  </pic:spPr>
                </pic:pic>
              </a:graphicData>
            </a:graphic>
          </wp:inline>
        </w:drawing>
      </w:r>
    </w:p>
    <w:sectPr>
      <w:footerReference r:id="rId3" w:type="default"/>
      <w:pgSz w:w="11906" w:h="16838"/>
      <w:pgMar w:top="1985" w:right="1474" w:bottom="1928"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1</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22</w:t>
    </w:r>
    <w:r>
      <w:rPr>
        <w:szCs w:val="21"/>
      </w:rPr>
      <w:fldChar w:fldCharType="end"/>
    </w:r>
    <w:r>
      <w:rPr>
        <w:rFonts w:hint="eastAsia"/>
        <w:szCs w:val="21"/>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NjMGZkZTU2ODRiNjcxYmZmNTA3NGZiMjhkOWNmMjUifQ=="/>
    <w:docVar w:name="KSO_WPS_MARK_KEY" w:val="d3958f1e-a64e-4573-91cf-f9bf8cc786da"/>
  </w:docVars>
  <w:rsids>
    <w:rsidRoot w:val="00243889"/>
    <w:rsid w:val="00011554"/>
    <w:rsid w:val="00013A75"/>
    <w:rsid w:val="00022283"/>
    <w:rsid w:val="000224F8"/>
    <w:rsid w:val="00022E8C"/>
    <w:rsid w:val="0002724E"/>
    <w:rsid w:val="000300D6"/>
    <w:rsid w:val="00037E6D"/>
    <w:rsid w:val="00042CC1"/>
    <w:rsid w:val="00044CB6"/>
    <w:rsid w:val="00070CF1"/>
    <w:rsid w:val="00071367"/>
    <w:rsid w:val="000737ED"/>
    <w:rsid w:val="00080109"/>
    <w:rsid w:val="000827F6"/>
    <w:rsid w:val="0008335F"/>
    <w:rsid w:val="000872BB"/>
    <w:rsid w:val="0009345A"/>
    <w:rsid w:val="0009648C"/>
    <w:rsid w:val="000A249A"/>
    <w:rsid w:val="000A3131"/>
    <w:rsid w:val="000C0DA8"/>
    <w:rsid w:val="000C3594"/>
    <w:rsid w:val="000D1D49"/>
    <w:rsid w:val="000D409B"/>
    <w:rsid w:val="000D7B70"/>
    <w:rsid w:val="000E089C"/>
    <w:rsid w:val="000E2CD0"/>
    <w:rsid w:val="000E3150"/>
    <w:rsid w:val="000F1985"/>
    <w:rsid w:val="000F22C4"/>
    <w:rsid w:val="000F32CE"/>
    <w:rsid w:val="000F65DA"/>
    <w:rsid w:val="00102E7C"/>
    <w:rsid w:val="00105396"/>
    <w:rsid w:val="00107127"/>
    <w:rsid w:val="00123825"/>
    <w:rsid w:val="0012452B"/>
    <w:rsid w:val="00126832"/>
    <w:rsid w:val="00135716"/>
    <w:rsid w:val="0013788D"/>
    <w:rsid w:val="00141B20"/>
    <w:rsid w:val="00151EBD"/>
    <w:rsid w:val="0015361A"/>
    <w:rsid w:val="00154ED2"/>
    <w:rsid w:val="00156DB1"/>
    <w:rsid w:val="00161874"/>
    <w:rsid w:val="001636AD"/>
    <w:rsid w:val="00167083"/>
    <w:rsid w:val="001701A4"/>
    <w:rsid w:val="0018130B"/>
    <w:rsid w:val="001A00B9"/>
    <w:rsid w:val="001A7317"/>
    <w:rsid w:val="001C35DF"/>
    <w:rsid w:val="001C7AA2"/>
    <w:rsid w:val="001C7C05"/>
    <w:rsid w:val="001D3521"/>
    <w:rsid w:val="001E0655"/>
    <w:rsid w:val="001E4671"/>
    <w:rsid w:val="001F0DEE"/>
    <w:rsid w:val="001F3E1C"/>
    <w:rsid w:val="001F4E04"/>
    <w:rsid w:val="00207885"/>
    <w:rsid w:val="00207AEC"/>
    <w:rsid w:val="00216A19"/>
    <w:rsid w:val="00217832"/>
    <w:rsid w:val="00217C32"/>
    <w:rsid w:val="00217C89"/>
    <w:rsid w:val="00221BD3"/>
    <w:rsid w:val="0022289C"/>
    <w:rsid w:val="00222D6A"/>
    <w:rsid w:val="002303BC"/>
    <w:rsid w:val="00233C56"/>
    <w:rsid w:val="00237093"/>
    <w:rsid w:val="00243889"/>
    <w:rsid w:val="0024668A"/>
    <w:rsid w:val="0025571E"/>
    <w:rsid w:val="002616CD"/>
    <w:rsid w:val="00267764"/>
    <w:rsid w:val="00271FAE"/>
    <w:rsid w:val="00272F64"/>
    <w:rsid w:val="00281873"/>
    <w:rsid w:val="0028696E"/>
    <w:rsid w:val="0029076E"/>
    <w:rsid w:val="002A6037"/>
    <w:rsid w:val="002A6691"/>
    <w:rsid w:val="002B11C7"/>
    <w:rsid w:val="002B4C4E"/>
    <w:rsid w:val="002B7FEA"/>
    <w:rsid w:val="002C172C"/>
    <w:rsid w:val="002C28D0"/>
    <w:rsid w:val="002C30F6"/>
    <w:rsid w:val="002C5941"/>
    <w:rsid w:val="002C6D80"/>
    <w:rsid w:val="002C72FF"/>
    <w:rsid w:val="002C74D4"/>
    <w:rsid w:val="002E222E"/>
    <w:rsid w:val="002E5A80"/>
    <w:rsid w:val="002E67B2"/>
    <w:rsid w:val="002F12D1"/>
    <w:rsid w:val="002F6942"/>
    <w:rsid w:val="002F70F6"/>
    <w:rsid w:val="002F777B"/>
    <w:rsid w:val="002F7FCF"/>
    <w:rsid w:val="003017DD"/>
    <w:rsid w:val="00304CB3"/>
    <w:rsid w:val="00311811"/>
    <w:rsid w:val="003140B2"/>
    <w:rsid w:val="003148D5"/>
    <w:rsid w:val="00325E23"/>
    <w:rsid w:val="00326FB3"/>
    <w:rsid w:val="00330B88"/>
    <w:rsid w:val="00330F9C"/>
    <w:rsid w:val="0033365D"/>
    <w:rsid w:val="00333E1A"/>
    <w:rsid w:val="003343B8"/>
    <w:rsid w:val="0033640D"/>
    <w:rsid w:val="0035035C"/>
    <w:rsid w:val="003509FE"/>
    <w:rsid w:val="0035307D"/>
    <w:rsid w:val="00355FB7"/>
    <w:rsid w:val="0036167F"/>
    <w:rsid w:val="00363507"/>
    <w:rsid w:val="0036641E"/>
    <w:rsid w:val="00371663"/>
    <w:rsid w:val="0037542F"/>
    <w:rsid w:val="00385E72"/>
    <w:rsid w:val="00391FD3"/>
    <w:rsid w:val="00392B36"/>
    <w:rsid w:val="00394CB9"/>
    <w:rsid w:val="00395A7E"/>
    <w:rsid w:val="00397C9C"/>
    <w:rsid w:val="003A1FB2"/>
    <w:rsid w:val="003A7D97"/>
    <w:rsid w:val="003B07CB"/>
    <w:rsid w:val="003B4E2F"/>
    <w:rsid w:val="003B50A6"/>
    <w:rsid w:val="003B666F"/>
    <w:rsid w:val="003C506C"/>
    <w:rsid w:val="003C5534"/>
    <w:rsid w:val="003C71DB"/>
    <w:rsid w:val="003D2F36"/>
    <w:rsid w:val="003E2D63"/>
    <w:rsid w:val="003E2D98"/>
    <w:rsid w:val="003F3A73"/>
    <w:rsid w:val="0040204E"/>
    <w:rsid w:val="00405D50"/>
    <w:rsid w:val="0040783C"/>
    <w:rsid w:val="00424B38"/>
    <w:rsid w:val="0042611B"/>
    <w:rsid w:val="00427867"/>
    <w:rsid w:val="00433B25"/>
    <w:rsid w:val="0044132C"/>
    <w:rsid w:val="00443641"/>
    <w:rsid w:val="0044449F"/>
    <w:rsid w:val="00445FF2"/>
    <w:rsid w:val="004473A4"/>
    <w:rsid w:val="00451A6D"/>
    <w:rsid w:val="00452884"/>
    <w:rsid w:val="00454CAD"/>
    <w:rsid w:val="00461F3D"/>
    <w:rsid w:val="00470836"/>
    <w:rsid w:val="004763E5"/>
    <w:rsid w:val="00483945"/>
    <w:rsid w:val="0049153B"/>
    <w:rsid w:val="004A2AB1"/>
    <w:rsid w:val="004A5785"/>
    <w:rsid w:val="004B189D"/>
    <w:rsid w:val="004B2105"/>
    <w:rsid w:val="004B47DF"/>
    <w:rsid w:val="004B6467"/>
    <w:rsid w:val="004B7164"/>
    <w:rsid w:val="004C1E91"/>
    <w:rsid w:val="004C289B"/>
    <w:rsid w:val="004C52A9"/>
    <w:rsid w:val="004C6731"/>
    <w:rsid w:val="004C6A98"/>
    <w:rsid w:val="004D2AE7"/>
    <w:rsid w:val="004D46EB"/>
    <w:rsid w:val="004D48AE"/>
    <w:rsid w:val="004D67C9"/>
    <w:rsid w:val="004E1A45"/>
    <w:rsid w:val="004E27F2"/>
    <w:rsid w:val="004E2C67"/>
    <w:rsid w:val="004E462F"/>
    <w:rsid w:val="004E751C"/>
    <w:rsid w:val="004F05AD"/>
    <w:rsid w:val="0050100C"/>
    <w:rsid w:val="00505303"/>
    <w:rsid w:val="00515D5C"/>
    <w:rsid w:val="00515FC1"/>
    <w:rsid w:val="00517943"/>
    <w:rsid w:val="00517C79"/>
    <w:rsid w:val="005207A6"/>
    <w:rsid w:val="005221FD"/>
    <w:rsid w:val="00525F58"/>
    <w:rsid w:val="00532F96"/>
    <w:rsid w:val="00537BB4"/>
    <w:rsid w:val="00544E4C"/>
    <w:rsid w:val="00545939"/>
    <w:rsid w:val="005544E3"/>
    <w:rsid w:val="0056465D"/>
    <w:rsid w:val="00567C13"/>
    <w:rsid w:val="005700AE"/>
    <w:rsid w:val="005756D6"/>
    <w:rsid w:val="005842F1"/>
    <w:rsid w:val="00590440"/>
    <w:rsid w:val="00590806"/>
    <w:rsid w:val="005A2126"/>
    <w:rsid w:val="005A4FC0"/>
    <w:rsid w:val="005A7A9D"/>
    <w:rsid w:val="005B1558"/>
    <w:rsid w:val="005B188B"/>
    <w:rsid w:val="005C237D"/>
    <w:rsid w:val="005C2B39"/>
    <w:rsid w:val="005D3527"/>
    <w:rsid w:val="005D3605"/>
    <w:rsid w:val="005D46C9"/>
    <w:rsid w:val="005D5780"/>
    <w:rsid w:val="005D6D93"/>
    <w:rsid w:val="005D6EF2"/>
    <w:rsid w:val="005D7941"/>
    <w:rsid w:val="005D7B9E"/>
    <w:rsid w:val="005E158F"/>
    <w:rsid w:val="005E171B"/>
    <w:rsid w:val="005F0F2F"/>
    <w:rsid w:val="005F73C1"/>
    <w:rsid w:val="005F7824"/>
    <w:rsid w:val="005F7A35"/>
    <w:rsid w:val="006049CA"/>
    <w:rsid w:val="006101A3"/>
    <w:rsid w:val="0061663A"/>
    <w:rsid w:val="00625ED6"/>
    <w:rsid w:val="006311DC"/>
    <w:rsid w:val="006361E1"/>
    <w:rsid w:val="00637618"/>
    <w:rsid w:val="0064255E"/>
    <w:rsid w:val="006507C4"/>
    <w:rsid w:val="006610CE"/>
    <w:rsid w:val="00661CE1"/>
    <w:rsid w:val="0066618C"/>
    <w:rsid w:val="006768FD"/>
    <w:rsid w:val="006848EA"/>
    <w:rsid w:val="00685C3B"/>
    <w:rsid w:val="00693F28"/>
    <w:rsid w:val="006A0971"/>
    <w:rsid w:val="006A29F5"/>
    <w:rsid w:val="006A5FBE"/>
    <w:rsid w:val="006A77AA"/>
    <w:rsid w:val="006B1C36"/>
    <w:rsid w:val="006B6EBD"/>
    <w:rsid w:val="006C1A08"/>
    <w:rsid w:val="006C4C25"/>
    <w:rsid w:val="006D5972"/>
    <w:rsid w:val="006F5911"/>
    <w:rsid w:val="006F5D9C"/>
    <w:rsid w:val="006F6113"/>
    <w:rsid w:val="006F695F"/>
    <w:rsid w:val="006F6BB4"/>
    <w:rsid w:val="007050D1"/>
    <w:rsid w:val="00706CE8"/>
    <w:rsid w:val="00707174"/>
    <w:rsid w:val="00710777"/>
    <w:rsid w:val="0071138C"/>
    <w:rsid w:val="00711390"/>
    <w:rsid w:val="00714261"/>
    <w:rsid w:val="00721E78"/>
    <w:rsid w:val="00722D52"/>
    <w:rsid w:val="007255C4"/>
    <w:rsid w:val="00726A91"/>
    <w:rsid w:val="00734613"/>
    <w:rsid w:val="00740D52"/>
    <w:rsid w:val="007479EF"/>
    <w:rsid w:val="00753B98"/>
    <w:rsid w:val="007552A5"/>
    <w:rsid w:val="00764ED3"/>
    <w:rsid w:val="0076595A"/>
    <w:rsid w:val="00770709"/>
    <w:rsid w:val="00775BAC"/>
    <w:rsid w:val="00776D32"/>
    <w:rsid w:val="00781FD8"/>
    <w:rsid w:val="007830F3"/>
    <w:rsid w:val="007846E6"/>
    <w:rsid w:val="00786CC5"/>
    <w:rsid w:val="00790E92"/>
    <w:rsid w:val="007937DE"/>
    <w:rsid w:val="007A4942"/>
    <w:rsid w:val="007C1588"/>
    <w:rsid w:val="007C3858"/>
    <w:rsid w:val="007C54B8"/>
    <w:rsid w:val="007C6357"/>
    <w:rsid w:val="007D06D1"/>
    <w:rsid w:val="007E1963"/>
    <w:rsid w:val="00804C9B"/>
    <w:rsid w:val="00804F4B"/>
    <w:rsid w:val="0080543D"/>
    <w:rsid w:val="0080567C"/>
    <w:rsid w:val="00807E12"/>
    <w:rsid w:val="0081728C"/>
    <w:rsid w:val="00831190"/>
    <w:rsid w:val="0083583E"/>
    <w:rsid w:val="008364A5"/>
    <w:rsid w:val="0083776E"/>
    <w:rsid w:val="00847F73"/>
    <w:rsid w:val="008503DE"/>
    <w:rsid w:val="00854C90"/>
    <w:rsid w:val="00865B70"/>
    <w:rsid w:val="00870B15"/>
    <w:rsid w:val="00874A04"/>
    <w:rsid w:val="008822EA"/>
    <w:rsid w:val="00882471"/>
    <w:rsid w:val="00882FC3"/>
    <w:rsid w:val="008850DB"/>
    <w:rsid w:val="00891871"/>
    <w:rsid w:val="00895E85"/>
    <w:rsid w:val="00896B70"/>
    <w:rsid w:val="008A4495"/>
    <w:rsid w:val="008A4EBB"/>
    <w:rsid w:val="008A77A8"/>
    <w:rsid w:val="008B2FCB"/>
    <w:rsid w:val="008B4F77"/>
    <w:rsid w:val="008C7F7D"/>
    <w:rsid w:val="008D28A1"/>
    <w:rsid w:val="008E040D"/>
    <w:rsid w:val="008E1B73"/>
    <w:rsid w:val="008E266C"/>
    <w:rsid w:val="008E59E5"/>
    <w:rsid w:val="008F3B8D"/>
    <w:rsid w:val="008F49E9"/>
    <w:rsid w:val="008F4B34"/>
    <w:rsid w:val="00903859"/>
    <w:rsid w:val="00907D23"/>
    <w:rsid w:val="009133F8"/>
    <w:rsid w:val="009142B9"/>
    <w:rsid w:val="00915600"/>
    <w:rsid w:val="0091758C"/>
    <w:rsid w:val="0092170A"/>
    <w:rsid w:val="00921760"/>
    <w:rsid w:val="00924405"/>
    <w:rsid w:val="00926557"/>
    <w:rsid w:val="00927F32"/>
    <w:rsid w:val="0093388B"/>
    <w:rsid w:val="009360F5"/>
    <w:rsid w:val="00941005"/>
    <w:rsid w:val="0094296A"/>
    <w:rsid w:val="00944555"/>
    <w:rsid w:val="00947E36"/>
    <w:rsid w:val="009573DD"/>
    <w:rsid w:val="00957626"/>
    <w:rsid w:val="009619EF"/>
    <w:rsid w:val="00961B10"/>
    <w:rsid w:val="009738E8"/>
    <w:rsid w:val="00976BB0"/>
    <w:rsid w:val="009777CC"/>
    <w:rsid w:val="00982295"/>
    <w:rsid w:val="009834F6"/>
    <w:rsid w:val="009866BA"/>
    <w:rsid w:val="00987B4C"/>
    <w:rsid w:val="00987F2A"/>
    <w:rsid w:val="009A153E"/>
    <w:rsid w:val="009A3DE1"/>
    <w:rsid w:val="009C19F8"/>
    <w:rsid w:val="009C1C61"/>
    <w:rsid w:val="009C3631"/>
    <w:rsid w:val="009D4F3B"/>
    <w:rsid w:val="009D64A4"/>
    <w:rsid w:val="009E2F81"/>
    <w:rsid w:val="009E7D1C"/>
    <w:rsid w:val="009F4CD0"/>
    <w:rsid w:val="00A00E4E"/>
    <w:rsid w:val="00A04773"/>
    <w:rsid w:val="00A07AF2"/>
    <w:rsid w:val="00A14334"/>
    <w:rsid w:val="00A14921"/>
    <w:rsid w:val="00A15956"/>
    <w:rsid w:val="00A15C34"/>
    <w:rsid w:val="00A1776B"/>
    <w:rsid w:val="00A20511"/>
    <w:rsid w:val="00A23ACF"/>
    <w:rsid w:val="00A23C32"/>
    <w:rsid w:val="00A25796"/>
    <w:rsid w:val="00A269DE"/>
    <w:rsid w:val="00A324A5"/>
    <w:rsid w:val="00A32F03"/>
    <w:rsid w:val="00A33CBC"/>
    <w:rsid w:val="00A41BF8"/>
    <w:rsid w:val="00A41F9A"/>
    <w:rsid w:val="00A43635"/>
    <w:rsid w:val="00A460FD"/>
    <w:rsid w:val="00A54C54"/>
    <w:rsid w:val="00A55101"/>
    <w:rsid w:val="00A56AED"/>
    <w:rsid w:val="00A60BF5"/>
    <w:rsid w:val="00A63481"/>
    <w:rsid w:val="00A772A7"/>
    <w:rsid w:val="00A800E2"/>
    <w:rsid w:val="00A81DC5"/>
    <w:rsid w:val="00A841A6"/>
    <w:rsid w:val="00A964E1"/>
    <w:rsid w:val="00AA14D2"/>
    <w:rsid w:val="00AA2DCB"/>
    <w:rsid w:val="00AA348B"/>
    <w:rsid w:val="00AA5F6A"/>
    <w:rsid w:val="00AA6521"/>
    <w:rsid w:val="00AA6A5B"/>
    <w:rsid w:val="00AB0CFF"/>
    <w:rsid w:val="00AB41CB"/>
    <w:rsid w:val="00AB49B7"/>
    <w:rsid w:val="00AC3A4F"/>
    <w:rsid w:val="00AC695B"/>
    <w:rsid w:val="00AC788C"/>
    <w:rsid w:val="00AC7A6D"/>
    <w:rsid w:val="00AC7AC3"/>
    <w:rsid w:val="00AD60DD"/>
    <w:rsid w:val="00AE0B62"/>
    <w:rsid w:val="00AE5C57"/>
    <w:rsid w:val="00AE5CEE"/>
    <w:rsid w:val="00B00C8D"/>
    <w:rsid w:val="00B14205"/>
    <w:rsid w:val="00B16DE5"/>
    <w:rsid w:val="00B206CA"/>
    <w:rsid w:val="00B23B76"/>
    <w:rsid w:val="00B37A66"/>
    <w:rsid w:val="00B40ECF"/>
    <w:rsid w:val="00B4532B"/>
    <w:rsid w:val="00B464CB"/>
    <w:rsid w:val="00B46C3E"/>
    <w:rsid w:val="00B46DF7"/>
    <w:rsid w:val="00B506ED"/>
    <w:rsid w:val="00B53261"/>
    <w:rsid w:val="00B5547A"/>
    <w:rsid w:val="00B5735D"/>
    <w:rsid w:val="00B621B6"/>
    <w:rsid w:val="00B71259"/>
    <w:rsid w:val="00B74FCA"/>
    <w:rsid w:val="00B8279F"/>
    <w:rsid w:val="00B84619"/>
    <w:rsid w:val="00B8760B"/>
    <w:rsid w:val="00B901EE"/>
    <w:rsid w:val="00B90E20"/>
    <w:rsid w:val="00B951AE"/>
    <w:rsid w:val="00B975BD"/>
    <w:rsid w:val="00BA4F41"/>
    <w:rsid w:val="00BA4F55"/>
    <w:rsid w:val="00BB0509"/>
    <w:rsid w:val="00BB3B40"/>
    <w:rsid w:val="00BC212C"/>
    <w:rsid w:val="00BC3BBC"/>
    <w:rsid w:val="00BC3E3E"/>
    <w:rsid w:val="00BE0523"/>
    <w:rsid w:val="00BE30E0"/>
    <w:rsid w:val="00BE6DBF"/>
    <w:rsid w:val="00BE73FF"/>
    <w:rsid w:val="00BF63F8"/>
    <w:rsid w:val="00C0048B"/>
    <w:rsid w:val="00C0074A"/>
    <w:rsid w:val="00C04B8E"/>
    <w:rsid w:val="00C06F9E"/>
    <w:rsid w:val="00C1166C"/>
    <w:rsid w:val="00C11C6C"/>
    <w:rsid w:val="00C12976"/>
    <w:rsid w:val="00C22C0A"/>
    <w:rsid w:val="00C23CAB"/>
    <w:rsid w:val="00C240AD"/>
    <w:rsid w:val="00C25EA5"/>
    <w:rsid w:val="00C32C85"/>
    <w:rsid w:val="00C414BC"/>
    <w:rsid w:val="00C4218F"/>
    <w:rsid w:val="00C42A11"/>
    <w:rsid w:val="00C52098"/>
    <w:rsid w:val="00C52B51"/>
    <w:rsid w:val="00C535B0"/>
    <w:rsid w:val="00C57F9D"/>
    <w:rsid w:val="00C616CE"/>
    <w:rsid w:val="00C62770"/>
    <w:rsid w:val="00C70355"/>
    <w:rsid w:val="00C7448C"/>
    <w:rsid w:val="00C77A3F"/>
    <w:rsid w:val="00C975CE"/>
    <w:rsid w:val="00CA40FE"/>
    <w:rsid w:val="00CA6984"/>
    <w:rsid w:val="00CA73FB"/>
    <w:rsid w:val="00CB0CFD"/>
    <w:rsid w:val="00CB446C"/>
    <w:rsid w:val="00CC3827"/>
    <w:rsid w:val="00CD1F73"/>
    <w:rsid w:val="00CD4FA9"/>
    <w:rsid w:val="00CD55B7"/>
    <w:rsid w:val="00CD6F9E"/>
    <w:rsid w:val="00CD7803"/>
    <w:rsid w:val="00CE7E98"/>
    <w:rsid w:val="00CE7EA9"/>
    <w:rsid w:val="00CF0235"/>
    <w:rsid w:val="00CF1F9E"/>
    <w:rsid w:val="00CF2C46"/>
    <w:rsid w:val="00CF5A27"/>
    <w:rsid w:val="00D024E0"/>
    <w:rsid w:val="00D03709"/>
    <w:rsid w:val="00D05185"/>
    <w:rsid w:val="00D15496"/>
    <w:rsid w:val="00D16C3F"/>
    <w:rsid w:val="00D17BDD"/>
    <w:rsid w:val="00D2098B"/>
    <w:rsid w:val="00D24385"/>
    <w:rsid w:val="00D31355"/>
    <w:rsid w:val="00D31810"/>
    <w:rsid w:val="00D3273E"/>
    <w:rsid w:val="00D35255"/>
    <w:rsid w:val="00D35EDE"/>
    <w:rsid w:val="00D40F7E"/>
    <w:rsid w:val="00D42DF4"/>
    <w:rsid w:val="00D4651B"/>
    <w:rsid w:val="00D47C6B"/>
    <w:rsid w:val="00D51C76"/>
    <w:rsid w:val="00D54491"/>
    <w:rsid w:val="00D54A03"/>
    <w:rsid w:val="00D55444"/>
    <w:rsid w:val="00D62DB2"/>
    <w:rsid w:val="00D67A22"/>
    <w:rsid w:val="00D67C22"/>
    <w:rsid w:val="00D71B23"/>
    <w:rsid w:val="00D73E52"/>
    <w:rsid w:val="00D75122"/>
    <w:rsid w:val="00D76841"/>
    <w:rsid w:val="00D92A0C"/>
    <w:rsid w:val="00DA1702"/>
    <w:rsid w:val="00DA3976"/>
    <w:rsid w:val="00DB65C5"/>
    <w:rsid w:val="00DB69F5"/>
    <w:rsid w:val="00DC013E"/>
    <w:rsid w:val="00DC1D6F"/>
    <w:rsid w:val="00DC5686"/>
    <w:rsid w:val="00DD3B41"/>
    <w:rsid w:val="00DD47EB"/>
    <w:rsid w:val="00DD5A71"/>
    <w:rsid w:val="00DE6986"/>
    <w:rsid w:val="00DF1114"/>
    <w:rsid w:val="00E00639"/>
    <w:rsid w:val="00E00EFF"/>
    <w:rsid w:val="00E03F82"/>
    <w:rsid w:val="00E137EC"/>
    <w:rsid w:val="00E17020"/>
    <w:rsid w:val="00E23420"/>
    <w:rsid w:val="00E33F03"/>
    <w:rsid w:val="00E34A57"/>
    <w:rsid w:val="00E37DBB"/>
    <w:rsid w:val="00E423B3"/>
    <w:rsid w:val="00E442C0"/>
    <w:rsid w:val="00E44C3C"/>
    <w:rsid w:val="00E51625"/>
    <w:rsid w:val="00E5338C"/>
    <w:rsid w:val="00E53A05"/>
    <w:rsid w:val="00E54BF6"/>
    <w:rsid w:val="00E5745A"/>
    <w:rsid w:val="00E63BE5"/>
    <w:rsid w:val="00E6532A"/>
    <w:rsid w:val="00E709E1"/>
    <w:rsid w:val="00E710C1"/>
    <w:rsid w:val="00E72C11"/>
    <w:rsid w:val="00E734C5"/>
    <w:rsid w:val="00E742AA"/>
    <w:rsid w:val="00E82789"/>
    <w:rsid w:val="00E828FC"/>
    <w:rsid w:val="00E87CED"/>
    <w:rsid w:val="00E9005A"/>
    <w:rsid w:val="00E908AE"/>
    <w:rsid w:val="00E92FF3"/>
    <w:rsid w:val="00EA4441"/>
    <w:rsid w:val="00EB2AA7"/>
    <w:rsid w:val="00EB75BF"/>
    <w:rsid w:val="00EB7BCC"/>
    <w:rsid w:val="00EB7D59"/>
    <w:rsid w:val="00EC3857"/>
    <w:rsid w:val="00EC5DD4"/>
    <w:rsid w:val="00EC687E"/>
    <w:rsid w:val="00EC7C71"/>
    <w:rsid w:val="00ED23D0"/>
    <w:rsid w:val="00ED4355"/>
    <w:rsid w:val="00ED4ED7"/>
    <w:rsid w:val="00ED6A9B"/>
    <w:rsid w:val="00ED6B7C"/>
    <w:rsid w:val="00EE34BF"/>
    <w:rsid w:val="00EE56AD"/>
    <w:rsid w:val="00EF0EDF"/>
    <w:rsid w:val="00EF111A"/>
    <w:rsid w:val="00EF6563"/>
    <w:rsid w:val="00EF6684"/>
    <w:rsid w:val="00EF771E"/>
    <w:rsid w:val="00F0387D"/>
    <w:rsid w:val="00F0579E"/>
    <w:rsid w:val="00F05CA5"/>
    <w:rsid w:val="00F1026E"/>
    <w:rsid w:val="00F2299A"/>
    <w:rsid w:val="00F24618"/>
    <w:rsid w:val="00F26C9F"/>
    <w:rsid w:val="00F325FC"/>
    <w:rsid w:val="00F34C90"/>
    <w:rsid w:val="00F36173"/>
    <w:rsid w:val="00F379E0"/>
    <w:rsid w:val="00F4135C"/>
    <w:rsid w:val="00F46428"/>
    <w:rsid w:val="00F4722C"/>
    <w:rsid w:val="00F5089C"/>
    <w:rsid w:val="00F5227F"/>
    <w:rsid w:val="00F5458F"/>
    <w:rsid w:val="00F553B2"/>
    <w:rsid w:val="00F61526"/>
    <w:rsid w:val="00F61C32"/>
    <w:rsid w:val="00F64ACB"/>
    <w:rsid w:val="00F670C9"/>
    <w:rsid w:val="00F672AB"/>
    <w:rsid w:val="00F75808"/>
    <w:rsid w:val="00F8030C"/>
    <w:rsid w:val="00F80F04"/>
    <w:rsid w:val="00F841CF"/>
    <w:rsid w:val="00F86DDE"/>
    <w:rsid w:val="00F87793"/>
    <w:rsid w:val="00F91C4D"/>
    <w:rsid w:val="00F93E1D"/>
    <w:rsid w:val="00F95609"/>
    <w:rsid w:val="00FA4A7E"/>
    <w:rsid w:val="00FB6A2B"/>
    <w:rsid w:val="00FB6C49"/>
    <w:rsid w:val="00FB706C"/>
    <w:rsid w:val="00FB7FF0"/>
    <w:rsid w:val="00FC7EDD"/>
    <w:rsid w:val="00FD2834"/>
    <w:rsid w:val="00FD3976"/>
    <w:rsid w:val="00FE0673"/>
    <w:rsid w:val="00FE5928"/>
    <w:rsid w:val="00FE7801"/>
    <w:rsid w:val="00FF061F"/>
    <w:rsid w:val="00FF1217"/>
    <w:rsid w:val="00FF3A39"/>
    <w:rsid w:val="00FF4E74"/>
    <w:rsid w:val="01A60362"/>
    <w:rsid w:val="01D54DEC"/>
    <w:rsid w:val="030671D3"/>
    <w:rsid w:val="04A86824"/>
    <w:rsid w:val="07AC21E2"/>
    <w:rsid w:val="07B22DA2"/>
    <w:rsid w:val="086910E8"/>
    <w:rsid w:val="08A3113D"/>
    <w:rsid w:val="093166F9"/>
    <w:rsid w:val="099269E6"/>
    <w:rsid w:val="09C90A7A"/>
    <w:rsid w:val="09CD741E"/>
    <w:rsid w:val="0A426E97"/>
    <w:rsid w:val="0A9427E3"/>
    <w:rsid w:val="0B3D77C7"/>
    <w:rsid w:val="0DB5016B"/>
    <w:rsid w:val="0F713508"/>
    <w:rsid w:val="10EC4C74"/>
    <w:rsid w:val="12165852"/>
    <w:rsid w:val="12D025E4"/>
    <w:rsid w:val="12D51839"/>
    <w:rsid w:val="13010686"/>
    <w:rsid w:val="137F0319"/>
    <w:rsid w:val="13C91FF0"/>
    <w:rsid w:val="142B6988"/>
    <w:rsid w:val="14D706B7"/>
    <w:rsid w:val="15400D5C"/>
    <w:rsid w:val="19935EBB"/>
    <w:rsid w:val="1A2B2237"/>
    <w:rsid w:val="1A8E1A82"/>
    <w:rsid w:val="20E17D6D"/>
    <w:rsid w:val="20E63446"/>
    <w:rsid w:val="212E4E27"/>
    <w:rsid w:val="22052F40"/>
    <w:rsid w:val="22385378"/>
    <w:rsid w:val="2302720E"/>
    <w:rsid w:val="259913C6"/>
    <w:rsid w:val="266E057F"/>
    <w:rsid w:val="26AB74FD"/>
    <w:rsid w:val="26F162E6"/>
    <w:rsid w:val="271909D4"/>
    <w:rsid w:val="27C57055"/>
    <w:rsid w:val="293638F1"/>
    <w:rsid w:val="29C62C0C"/>
    <w:rsid w:val="2BB724BD"/>
    <w:rsid w:val="2C0707CE"/>
    <w:rsid w:val="2C4445C0"/>
    <w:rsid w:val="2E4E62F6"/>
    <w:rsid w:val="2EF114C9"/>
    <w:rsid w:val="30B05781"/>
    <w:rsid w:val="30CF189D"/>
    <w:rsid w:val="30E90AE7"/>
    <w:rsid w:val="31914D6F"/>
    <w:rsid w:val="31AB60B9"/>
    <w:rsid w:val="341D49F0"/>
    <w:rsid w:val="35016CB7"/>
    <w:rsid w:val="350B1688"/>
    <w:rsid w:val="35A62C06"/>
    <w:rsid w:val="368D287F"/>
    <w:rsid w:val="37231BDB"/>
    <w:rsid w:val="377A726B"/>
    <w:rsid w:val="37C25A44"/>
    <w:rsid w:val="38A962DB"/>
    <w:rsid w:val="39213F3F"/>
    <w:rsid w:val="39432B7F"/>
    <w:rsid w:val="39D1376C"/>
    <w:rsid w:val="3AC444BF"/>
    <w:rsid w:val="3AD31AA7"/>
    <w:rsid w:val="3B4242E9"/>
    <w:rsid w:val="3C8C77B3"/>
    <w:rsid w:val="3DE643D2"/>
    <w:rsid w:val="3F5828DB"/>
    <w:rsid w:val="3FC876FA"/>
    <w:rsid w:val="40EA1A2D"/>
    <w:rsid w:val="43704F5B"/>
    <w:rsid w:val="43EF23C3"/>
    <w:rsid w:val="44043B64"/>
    <w:rsid w:val="4480455E"/>
    <w:rsid w:val="44D37AF7"/>
    <w:rsid w:val="44DC28BF"/>
    <w:rsid w:val="452C488D"/>
    <w:rsid w:val="45F121CD"/>
    <w:rsid w:val="46000F53"/>
    <w:rsid w:val="48BA1066"/>
    <w:rsid w:val="4A00351E"/>
    <w:rsid w:val="4B0D44D6"/>
    <w:rsid w:val="4C277E96"/>
    <w:rsid w:val="4DAA0511"/>
    <w:rsid w:val="4DBE0E65"/>
    <w:rsid w:val="4E852E45"/>
    <w:rsid w:val="4F3D24FB"/>
    <w:rsid w:val="4F442E8E"/>
    <w:rsid w:val="541D0C3B"/>
    <w:rsid w:val="54207B94"/>
    <w:rsid w:val="54BA5F5E"/>
    <w:rsid w:val="550C20B7"/>
    <w:rsid w:val="57A503B6"/>
    <w:rsid w:val="57AE7A70"/>
    <w:rsid w:val="5905591A"/>
    <w:rsid w:val="59876D16"/>
    <w:rsid w:val="5AC85715"/>
    <w:rsid w:val="5B867F38"/>
    <w:rsid w:val="5D1A3C28"/>
    <w:rsid w:val="5ED80026"/>
    <w:rsid w:val="5F6167AB"/>
    <w:rsid w:val="5F6B54D9"/>
    <w:rsid w:val="622E4A54"/>
    <w:rsid w:val="62A66524"/>
    <w:rsid w:val="62D00E2B"/>
    <w:rsid w:val="62E6627D"/>
    <w:rsid w:val="631374DE"/>
    <w:rsid w:val="631E605D"/>
    <w:rsid w:val="64A95D3A"/>
    <w:rsid w:val="67612330"/>
    <w:rsid w:val="676D4490"/>
    <w:rsid w:val="67917D34"/>
    <w:rsid w:val="686C078B"/>
    <w:rsid w:val="6A175BBA"/>
    <w:rsid w:val="6B4D1DCA"/>
    <w:rsid w:val="6C3E26ED"/>
    <w:rsid w:val="6CDF5534"/>
    <w:rsid w:val="6D0A70DC"/>
    <w:rsid w:val="6D7D39E6"/>
    <w:rsid w:val="6E253F88"/>
    <w:rsid w:val="6E4B6306"/>
    <w:rsid w:val="6E5B3C84"/>
    <w:rsid w:val="6F483970"/>
    <w:rsid w:val="70D624AE"/>
    <w:rsid w:val="710C4A04"/>
    <w:rsid w:val="72521859"/>
    <w:rsid w:val="7254415A"/>
    <w:rsid w:val="72793C5C"/>
    <w:rsid w:val="73795658"/>
    <w:rsid w:val="73814F77"/>
    <w:rsid w:val="738A1270"/>
    <w:rsid w:val="7570727B"/>
    <w:rsid w:val="75774DCC"/>
    <w:rsid w:val="75982104"/>
    <w:rsid w:val="77576140"/>
    <w:rsid w:val="7795619C"/>
    <w:rsid w:val="78C631E2"/>
    <w:rsid w:val="799F7A15"/>
    <w:rsid w:val="79A06AFF"/>
    <w:rsid w:val="7B4C777F"/>
    <w:rsid w:val="7D2036B2"/>
    <w:rsid w:val="7D405637"/>
    <w:rsid w:val="7D8D2E12"/>
    <w:rsid w:val="7EC02117"/>
    <w:rsid w:val="7F10604E"/>
    <w:rsid w:val="7F314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cs="宋体"/>
      <w:sz w:val="32"/>
      <w:szCs w:val="32"/>
    </w:rPr>
  </w:style>
  <w:style w:type="paragraph" w:styleId="3">
    <w:name w:val="Date"/>
    <w:basedOn w:val="1"/>
    <w:next w:val="1"/>
    <w:link w:val="21"/>
    <w:semiHidden/>
    <w:unhideWhenUsed/>
    <w:qFormat/>
    <w:uiPriority w:val="99"/>
    <w:pPr>
      <w:ind w:left="100" w:leftChars="2500"/>
    </w:pPr>
  </w:style>
  <w:style w:type="paragraph" w:styleId="4">
    <w:name w:val="Balloon Text"/>
    <w:basedOn w:val="1"/>
    <w:link w:val="17"/>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0000FF"/>
      <w:u w:val="single"/>
    </w:rPr>
  </w:style>
  <w:style w:type="character" w:customStyle="1" w:styleId="11">
    <w:name w:val="页眉 字符"/>
    <w:basedOn w:val="9"/>
    <w:link w:val="6"/>
    <w:qFormat/>
    <w:uiPriority w:val="0"/>
    <w:rPr>
      <w:sz w:val="18"/>
      <w:szCs w:val="18"/>
    </w:rPr>
  </w:style>
  <w:style w:type="character" w:customStyle="1" w:styleId="12">
    <w:name w:val="页脚 字符"/>
    <w:basedOn w:val="9"/>
    <w:link w:val="5"/>
    <w:qFormat/>
    <w:uiPriority w:val="99"/>
    <w:rPr>
      <w:sz w:val="18"/>
      <w:szCs w:val="18"/>
    </w:rPr>
  </w:style>
  <w:style w:type="character" w:customStyle="1" w:styleId="13">
    <w:name w:val="font31"/>
    <w:basedOn w:val="9"/>
    <w:qFormat/>
    <w:uiPriority w:val="0"/>
    <w:rPr>
      <w:rFonts w:hint="default" w:ascii="Arial" w:hAnsi="Arial" w:cs="Arial"/>
      <w:color w:val="333333"/>
      <w:sz w:val="20"/>
      <w:szCs w:val="20"/>
      <w:u w:val="none"/>
    </w:rPr>
  </w:style>
  <w:style w:type="paragraph" w:styleId="14">
    <w:name w:val="List Paragraph"/>
    <w:basedOn w:val="1"/>
    <w:qFormat/>
    <w:uiPriority w:val="34"/>
    <w:pPr>
      <w:ind w:firstLine="420" w:firstLineChars="200"/>
    </w:pPr>
  </w:style>
  <w:style w:type="character" w:customStyle="1" w:styleId="15">
    <w:name w:val="font01"/>
    <w:basedOn w:val="9"/>
    <w:qFormat/>
    <w:uiPriority w:val="0"/>
    <w:rPr>
      <w:rFonts w:hint="eastAsia" w:ascii="宋体" w:hAnsi="宋体" w:eastAsia="宋体" w:cs="宋体"/>
      <w:color w:val="333333"/>
      <w:sz w:val="20"/>
      <w:szCs w:val="20"/>
      <w:u w:val="none"/>
    </w:rPr>
  </w:style>
  <w:style w:type="character" w:customStyle="1" w:styleId="16">
    <w:name w:val="font11"/>
    <w:basedOn w:val="9"/>
    <w:qFormat/>
    <w:uiPriority w:val="0"/>
    <w:rPr>
      <w:rFonts w:hint="default" w:ascii="Arial" w:hAnsi="Arial" w:cs="Arial"/>
      <w:color w:val="333333"/>
      <w:sz w:val="20"/>
      <w:szCs w:val="20"/>
      <w:u w:val="none"/>
    </w:rPr>
  </w:style>
  <w:style w:type="character" w:customStyle="1" w:styleId="17">
    <w:name w:val="批注框文本 字符"/>
    <w:basedOn w:val="9"/>
    <w:link w:val="4"/>
    <w:semiHidden/>
    <w:qFormat/>
    <w:uiPriority w:val="99"/>
    <w:rPr>
      <w:kern w:val="2"/>
      <w:sz w:val="18"/>
      <w:szCs w:val="18"/>
    </w:rPr>
  </w:style>
  <w:style w:type="paragraph" w:customStyle="1" w:styleId="18">
    <w:name w:val="p0"/>
    <w:basedOn w:val="1"/>
    <w:qFormat/>
    <w:uiPriority w:val="0"/>
    <w:pPr>
      <w:widowControl/>
    </w:pPr>
    <w:rPr>
      <w:kern w:val="0"/>
      <w:szCs w:val="21"/>
    </w:rPr>
  </w:style>
  <w:style w:type="paragraph" w:customStyle="1" w:styleId="19">
    <w:name w:val="行距: 固定值 15 磅"/>
    <w:basedOn w:val="1"/>
    <w:qFormat/>
    <w:uiPriority w:val="0"/>
    <w:pPr>
      <w:spacing w:line="300" w:lineRule="exact"/>
      <w:ind w:left="-178" w:leftChars="-85" w:right="840" w:firstLine="211"/>
      <w:jc w:val="center"/>
    </w:pPr>
    <w:rPr>
      <w:rFonts w:cs="宋体"/>
      <w:b/>
      <w:bCs/>
      <w:szCs w:val="20"/>
    </w:rPr>
  </w:style>
  <w:style w:type="paragraph" w:customStyle="1" w:styleId="20">
    <w:name w:val="列出段落1"/>
    <w:basedOn w:val="1"/>
    <w:qFormat/>
    <w:uiPriority w:val="0"/>
    <w:pPr>
      <w:ind w:firstLine="420" w:firstLineChars="200"/>
    </w:pPr>
    <w:rPr>
      <w:rFonts w:ascii="Calibri" w:hAnsi="Calibri" w:cs="Calibri"/>
      <w:szCs w:val="21"/>
    </w:rPr>
  </w:style>
  <w:style w:type="character" w:customStyle="1" w:styleId="21">
    <w:name w:val="日期 字符"/>
    <w:basedOn w:val="9"/>
    <w:link w:val="3"/>
    <w:semiHidden/>
    <w:qFormat/>
    <w:uiPriority w:val="99"/>
    <w:rPr>
      <w:rFonts w:ascii="Times New Roman" w:hAnsi="Times New Roman" w:eastAsia="宋体" w:cs="Times New Roman"/>
      <w:kern w:val="2"/>
      <w:sz w:val="21"/>
      <w:szCs w:val="22"/>
    </w:rPr>
  </w:style>
  <w:style w:type="character" w:customStyle="1" w:styleId="22">
    <w:name w:val="未处理的提及1"/>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9F17A-3F0B-459F-84EA-D78A79F922C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544</Words>
  <Characters>3101</Characters>
  <Lines>25</Lines>
  <Paragraphs>7</Paragraphs>
  <TotalTime>98</TotalTime>
  <ScaleCrop>false</ScaleCrop>
  <LinksUpToDate>false</LinksUpToDate>
  <CharactersWithSpaces>3638</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2025-09-05T00:02:00Z</dcterms:created>
  <dc:creator>L</dc:creator>
  <cp:lastModifiedBy>60272</cp:lastModifiedBy>
  <cp:lastPrinted>2025-07-10T08:43:00Z</cp:lastPrinted>
  <dcterms:modified xsi:type="dcterms:W3CDTF">2025-10-09T07:43:09Z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F12BA116EC504F00B248139F0E1B47BC</vt:lpwstr>
  </property>
</Properties>
</file>