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3A45F">
      <w:pPr>
        <w:wordWrap w:val="0"/>
        <w:spacing w:line="360" w:lineRule="auto"/>
        <w:jc w:val="right"/>
        <w:rPr>
          <w:sz w:val="30"/>
        </w:rPr>
      </w:pPr>
    </w:p>
    <w:p w14:paraId="7C49ED1B">
      <w:pPr>
        <w:wordWrap/>
        <w:spacing w:line="360" w:lineRule="auto"/>
        <w:jc w:val="center"/>
        <w:rPr>
          <w:rFonts w:hint="eastAsia" w:ascii="方正小标宋简体" w:hAnsi="方正小标宋简体" w:eastAsia="方正小标宋简体" w:cs="方正小标宋简体"/>
          <w:sz w:val="44"/>
          <w:szCs w:val="44"/>
        </w:rPr>
      </w:pPr>
    </w:p>
    <w:p w14:paraId="7C790289">
      <w:pPr>
        <w:jc w:val="center"/>
        <w:rPr>
          <w:rFonts w:hint="eastAsia" w:ascii="方正小标宋简体" w:hAnsi="方正小标宋简体" w:eastAsia="方正小标宋简体" w:cs="方正小标宋简体"/>
          <w:sz w:val="44"/>
          <w:szCs w:val="44"/>
        </w:rPr>
      </w:pPr>
      <w:bookmarkStart w:id="0" w:name="_Toc6509"/>
      <w:r>
        <w:rPr>
          <w:rFonts w:hint="eastAsia" w:ascii="方正小标宋简体" w:hAnsi="方正小标宋简体" w:eastAsia="方正小标宋简体" w:cs="方正小标宋简体"/>
          <w:sz w:val="44"/>
          <w:szCs w:val="44"/>
        </w:rPr>
        <w:t>山东金岭</w:t>
      </w:r>
      <w:r>
        <w:rPr>
          <w:rFonts w:hint="eastAsia" w:ascii="方正小标宋简体" w:hAnsi="方正小标宋简体" w:eastAsia="方正小标宋简体" w:cs="方正小标宋简体"/>
          <w:sz w:val="44"/>
          <w:szCs w:val="44"/>
          <w:lang w:val="en-US" w:eastAsia="zh-CN"/>
        </w:rPr>
        <w:t>矿业股份</w:t>
      </w:r>
      <w:r>
        <w:rPr>
          <w:rFonts w:hint="eastAsia" w:ascii="方正小标宋简体" w:hAnsi="方正小标宋简体" w:eastAsia="方正小标宋简体" w:cs="方正小标宋简体"/>
          <w:sz w:val="44"/>
          <w:szCs w:val="44"/>
        </w:rPr>
        <w:t>有限公司</w:t>
      </w:r>
      <w:bookmarkEnd w:id="0"/>
    </w:p>
    <w:p w14:paraId="4594F590">
      <w:pPr>
        <w:spacing w:line="276" w:lineRule="atLeas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选矿技术提升改造项目可行性研究</w:t>
      </w:r>
    </w:p>
    <w:p w14:paraId="2C7E31C8">
      <w:pPr>
        <w:spacing w:line="276" w:lineRule="atLeas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咨询服务采购项目</w:t>
      </w:r>
    </w:p>
    <w:p w14:paraId="77696FAD">
      <w:pPr>
        <w:spacing w:line="276" w:lineRule="atLeast"/>
        <w:jc w:val="center"/>
        <w:rPr>
          <w:rFonts w:hint="eastAsia" w:ascii="宋体" w:hAnsi="宋体" w:cs="宋体"/>
          <w:sz w:val="36"/>
          <w:szCs w:val="36"/>
        </w:rPr>
      </w:pPr>
    </w:p>
    <w:p w14:paraId="4CEFA0A3">
      <w:pPr>
        <w:spacing w:line="276" w:lineRule="atLeast"/>
        <w:jc w:val="center"/>
        <w:rPr>
          <w:rFonts w:ascii="宋体" w:hAnsi="宋体" w:cs="宋体"/>
          <w:sz w:val="36"/>
          <w:szCs w:val="36"/>
        </w:rPr>
      </w:pPr>
      <w:r>
        <w:rPr>
          <w:rFonts w:hint="eastAsia" w:ascii="宋体" w:hAnsi="宋体" w:cs="宋体"/>
          <w:sz w:val="36"/>
          <w:szCs w:val="36"/>
        </w:rPr>
        <w:t>(项目编号</w:t>
      </w:r>
      <w:r>
        <w:rPr>
          <w:rFonts w:hint="eastAsia" w:ascii="宋体" w:hAnsi="宋体" w:cs="宋体"/>
          <w:sz w:val="36"/>
          <w:szCs w:val="36"/>
          <w:lang w:eastAsia="zh-CN"/>
        </w:rPr>
        <w:t>：</w:t>
      </w:r>
      <w:r>
        <w:rPr>
          <w:rFonts w:hint="eastAsia" w:ascii="宋体" w:hAnsi="宋体" w:cs="宋体"/>
          <w:color w:val="auto"/>
          <w:sz w:val="36"/>
          <w:szCs w:val="36"/>
          <w:lang w:eastAsia="zh-CN"/>
        </w:rPr>
        <w:fldChar w:fldCharType="begin"/>
      </w:r>
      <w:r>
        <w:rPr>
          <w:rFonts w:hint="eastAsia" w:ascii="宋体" w:hAnsi="宋体" w:cs="宋体"/>
          <w:color w:val="auto"/>
          <w:sz w:val="36"/>
          <w:szCs w:val="36"/>
          <w:lang w:eastAsia="zh-CN"/>
        </w:rPr>
        <w:instrText xml:space="preserve"> HYPERLINK "javascript:WebForm_DoPostBackWithOptions(new WebForm_PostBackOptions("LinkButton1", "", true, "", "", false, true))" </w:instrText>
      </w:r>
      <w:r>
        <w:rPr>
          <w:rFonts w:hint="eastAsia" w:ascii="宋体" w:hAnsi="宋体" w:cs="宋体"/>
          <w:color w:val="auto"/>
          <w:sz w:val="36"/>
          <w:szCs w:val="36"/>
          <w:lang w:eastAsia="zh-CN"/>
        </w:rPr>
        <w:fldChar w:fldCharType="separate"/>
      </w:r>
      <w:r>
        <w:rPr>
          <w:rFonts w:hint="eastAsia" w:ascii="宋体" w:hAnsi="宋体" w:cs="宋体"/>
          <w:color w:val="auto"/>
          <w:sz w:val="36"/>
          <w:szCs w:val="36"/>
          <w:lang w:eastAsia="zh-CN"/>
        </w:rPr>
        <w:t>611319625111184</w:t>
      </w:r>
      <w:r>
        <w:rPr>
          <w:rFonts w:hint="eastAsia" w:ascii="宋体" w:hAnsi="宋体" w:cs="宋体"/>
          <w:color w:val="auto"/>
          <w:sz w:val="36"/>
          <w:szCs w:val="36"/>
          <w:lang w:eastAsia="zh-CN"/>
        </w:rPr>
        <w:fldChar w:fldCharType="end"/>
      </w:r>
      <w:r>
        <w:rPr>
          <w:rFonts w:hint="eastAsia" w:ascii="宋体" w:hAnsi="宋体" w:cs="宋体"/>
          <w:sz w:val="36"/>
          <w:szCs w:val="36"/>
        </w:rPr>
        <w:t>)</w:t>
      </w:r>
    </w:p>
    <w:p w14:paraId="478EC688">
      <w:pPr>
        <w:spacing w:line="360" w:lineRule="auto"/>
        <w:jc w:val="center"/>
        <w:rPr>
          <w:rFonts w:ascii="宋体" w:hAnsi="宋体" w:cs="宋体"/>
          <w:sz w:val="28"/>
          <w:szCs w:val="28"/>
        </w:rPr>
      </w:pPr>
    </w:p>
    <w:p w14:paraId="2F3918AF">
      <w:pPr>
        <w:rPr>
          <w:rFonts w:ascii="宋体" w:hAnsi="宋体" w:cs="宋体"/>
          <w:sz w:val="28"/>
          <w:szCs w:val="28"/>
        </w:rPr>
      </w:pPr>
    </w:p>
    <w:p w14:paraId="4B1F9024">
      <w:pPr>
        <w:ind w:firstLine="420"/>
        <w:rPr>
          <w:rFonts w:ascii="宋体" w:hAnsi="宋体" w:cs="宋体"/>
        </w:rPr>
      </w:pPr>
    </w:p>
    <w:p w14:paraId="336C3722">
      <w:pPr>
        <w:pStyle w:val="2"/>
        <w:ind w:firstLine="420"/>
        <w:rPr>
          <w:rFonts w:hAnsi="宋体" w:cs="宋体"/>
        </w:rPr>
      </w:pPr>
    </w:p>
    <w:p w14:paraId="4F620A80">
      <w:pPr>
        <w:tabs>
          <w:tab w:val="left" w:pos="315"/>
          <w:tab w:val="left" w:pos="8820"/>
        </w:tabs>
        <w:ind w:right="267" w:rightChars="127"/>
        <w:jc w:val="cente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bCs/>
          <w:color w:val="000000"/>
          <w:sz w:val="52"/>
        </w:rPr>
        <w:t xml:space="preserve"> </w:t>
      </w:r>
      <w:r>
        <w:rPr>
          <w:rFonts w:hint="eastAsia" w:ascii="方正小标宋简体" w:hAnsi="方正小标宋简体" w:eastAsia="方正小标宋简体" w:cs="方正小标宋简体"/>
          <w:sz w:val="44"/>
          <w:szCs w:val="44"/>
          <w:lang w:val="en-US" w:eastAsia="zh-CN"/>
        </w:rPr>
        <w:t>竞争性</w:t>
      </w:r>
      <w:r>
        <w:rPr>
          <w:rFonts w:hint="eastAsia" w:ascii="方正小标宋简体" w:hAnsi="方正小标宋简体" w:eastAsia="方正小标宋简体" w:cs="方正小标宋简体"/>
          <w:sz w:val="44"/>
          <w:szCs w:val="44"/>
          <w:lang w:eastAsia="zh-CN"/>
        </w:rPr>
        <w:t>谈判公告</w:t>
      </w:r>
    </w:p>
    <w:p w14:paraId="69C0C688">
      <w:pPr>
        <w:pStyle w:val="2"/>
        <w:rPr>
          <w:rFonts w:hAnsi="宋体" w:cs="宋体"/>
        </w:rPr>
      </w:pPr>
    </w:p>
    <w:p w14:paraId="11D8CDD8">
      <w:pPr>
        <w:pStyle w:val="2"/>
        <w:rPr>
          <w:rFonts w:hAnsi="宋体" w:cs="宋体"/>
        </w:rPr>
      </w:pPr>
    </w:p>
    <w:p w14:paraId="3E1EA450">
      <w:pPr>
        <w:pStyle w:val="2"/>
        <w:rPr>
          <w:rFonts w:hAnsi="宋体" w:cs="宋体"/>
        </w:rPr>
      </w:pPr>
    </w:p>
    <w:p w14:paraId="3ABB8255">
      <w:pPr>
        <w:pStyle w:val="2"/>
        <w:rPr>
          <w:rFonts w:hAnsi="宋体" w:cs="宋体"/>
        </w:rPr>
      </w:pPr>
    </w:p>
    <w:p w14:paraId="66F6EB5D">
      <w:pPr>
        <w:pStyle w:val="2"/>
        <w:rPr>
          <w:rFonts w:hAnsi="宋体" w:cs="宋体"/>
        </w:rPr>
      </w:pPr>
    </w:p>
    <w:p w14:paraId="219C2CFE">
      <w:pPr>
        <w:pStyle w:val="2"/>
        <w:rPr>
          <w:rFonts w:hAnsi="宋体" w:cs="宋体"/>
        </w:rPr>
      </w:pPr>
    </w:p>
    <w:p w14:paraId="48AAFF54">
      <w:pPr>
        <w:pStyle w:val="2"/>
        <w:rPr>
          <w:rFonts w:hAnsi="宋体" w:cs="宋体"/>
        </w:rPr>
      </w:pPr>
    </w:p>
    <w:p w14:paraId="1C58B22C">
      <w:pPr>
        <w:pStyle w:val="2"/>
        <w:rPr>
          <w:rFonts w:hAnsi="宋体" w:cs="宋体"/>
        </w:rPr>
      </w:pPr>
    </w:p>
    <w:p w14:paraId="35036C07">
      <w:pPr>
        <w:pStyle w:val="2"/>
        <w:rPr>
          <w:rFonts w:hAnsi="宋体" w:cs="宋体"/>
        </w:rPr>
      </w:pPr>
    </w:p>
    <w:p w14:paraId="1635B845">
      <w:pPr>
        <w:pStyle w:val="2"/>
        <w:rPr>
          <w:rFonts w:hAnsi="宋体" w:cs="宋体"/>
        </w:rPr>
      </w:pPr>
    </w:p>
    <w:p w14:paraId="209DBC4B">
      <w:pPr>
        <w:pStyle w:val="2"/>
        <w:rPr>
          <w:rFonts w:hAnsi="宋体" w:cs="宋体"/>
        </w:rPr>
      </w:pPr>
    </w:p>
    <w:p w14:paraId="1A90172E">
      <w:pPr>
        <w:pStyle w:val="2"/>
        <w:rPr>
          <w:rFonts w:hAnsi="宋体" w:cs="宋体"/>
        </w:rPr>
      </w:pPr>
    </w:p>
    <w:p w14:paraId="16FF978D">
      <w:pPr>
        <w:pStyle w:val="2"/>
        <w:rPr>
          <w:rFonts w:hAnsi="宋体" w:cs="宋体"/>
        </w:rPr>
      </w:pPr>
    </w:p>
    <w:p w14:paraId="58CAA2FD">
      <w:pPr>
        <w:pStyle w:val="2"/>
        <w:rPr>
          <w:rFonts w:hAnsi="宋体" w:cs="宋体"/>
        </w:rPr>
      </w:pPr>
    </w:p>
    <w:p w14:paraId="012C28D2">
      <w:pPr>
        <w:pStyle w:val="2"/>
        <w:rPr>
          <w:rFonts w:hAnsi="宋体" w:cs="宋体"/>
        </w:rPr>
      </w:pPr>
    </w:p>
    <w:p w14:paraId="5730119C">
      <w:pPr>
        <w:pStyle w:val="2"/>
        <w:rPr>
          <w:rFonts w:hAnsi="宋体" w:cs="宋体"/>
        </w:rPr>
      </w:pPr>
    </w:p>
    <w:p w14:paraId="5583078A">
      <w:pPr>
        <w:rPr>
          <w:rFonts w:ascii="宋体" w:hAnsi="宋体" w:cs="宋体"/>
          <w:sz w:val="30"/>
          <w:szCs w:val="30"/>
        </w:rPr>
      </w:pPr>
    </w:p>
    <w:p w14:paraId="793CE907">
      <w:pPr>
        <w:rPr>
          <w:rFonts w:ascii="宋体" w:hAnsi="宋体" w:cs="宋体"/>
          <w:sz w:val="30"/>
          <w:szCs w:val="30"/>
        </w:rPr>
      </w:pPr>
    </w:p>
    <w:p w14:paraId="38416122">
      <w:pPr>
        <w:rPr>
          <w:rFonts w:ascii="宋体" w:hAnsi="宋体" w:cs="宋体"/>
          <w:sz w:val="30"/>
          <w:szCs w:val="30"/>
        </w:rPr>
      </w:pPr>
    </w:p>
    <w:p w14:paraId="2644B502">
      <w:pPr>
        <w:spacing w:line="720" w:lineRule="auto"/>
        <w:jc w:val="center"/>
        <w:rPr>
          <w:rFonts w:ascii="宋体" w:hAnsi="宋体" w:cs="宋体"/>
          <w:sz w:val="28"/>
          <w:szCs w:val="28"/>
          <w:u w:val="single"/>
        </w:rPr>
      </w:pPr>
      <w:r>
        <w:rPr>
          <w:rFonts w:hint="eastAsia" w:ascii="宋体" w:hAnsi="宋体" w:cs="宋体"/>
          <w:sz w:val="28"/>
          <w:szCs w:val="28"/>
        </w:rPr>
        <w:t>采购人：山东金岭</w:t>
      </w:r>
      <w:r>
        <w:rPr>
          <w:rFonts w:hint="eastAsia" w:ascii="宋体" w:hAnsi="宋体" w:cs="宋体"/>
          <w:sz w:val="28"/>
          <w:szCs w:val="28"/>
          <w:lang w:val="en-US" w:eastAsia="zh-CN"/>
        </w:rPr>
        <w:t>矿业股份</w:t>
      </w:r>
      <w:r>
        <w:rPr>
          <w:rFonts w:hint="eastAsia" w:ascii="宋体" w:hAnsi="宋体" w:cs="宋体"/>
          <w:sz w:val="28"/>
          <w:szCs w:val="28"/>
        </w:rPr>
        <w:t>有限公司</w:t>
      </w:r>
    </w:p>
    <w:p w14:paraId="263EF5BA">
      <w:pPr>
        <w:shd w:val="clear"/>
        <w:spacing w:line="720" w:lineRule="auto"/>
        <w:jc w:val="center"/>
        <w:rPr>
          <w:rFonts w:hint="default" w:ascii="宋体" w:hAnsi="宋体" w:eastAsia="宋体" w:cs="宋体"/>
          <w:sz w:val="28"/>
          <w:szCs w:val="28"/>
          <w:highlight w:val="none"/>
          <w:lang w:val="en-US" w:eastAsia="zh-CN"/>
        </w:rPr>
        <w:sectPr>
          <w:footerReference r:id="rId4" w:type="first"/>
          <w:footerReference r:id="rId3" w:type="default"/>
          <w:pgSz w:w="11906" w:h="16838"/>
          <w:pgMar w:top="1440" w:right="1800" w:bottom="1440" w:left="1800" w:header="851" w:footer="992" w:gutter="0"/>
          <w:pgNumType w:fmt="decimal" w:start="1" w:chapStyle="1"/>
          <w:cols w:space="720" w:num="1"/>
          <w:titlePg/>
        </w:sectPr>
      </w:pPr>
      <w:r>
        <w:rPr>
          <w:rFonts w:hint="eastAsia" w:ascii="宋体" w:hAnsi="宋体" w:cs="宋体"/>
          <w:sz w:val="28"/>
          <w:szCs w:val="28"/>
          <w:highlight w:val="none"/>
          <w:lang w:val="en-US" w:eastAsia="zh-CN"/>
        </w:rPr>
        <w:t>2025年11月9日</w:t>
      </w:r>
    </w:p>
    <w:p w14:paraId="7096C37B">
      <w:pPr>
        <w:pStyle w:val="3"/>
        <w:jc w:val="center"/>
        <w:rPr>
          <w:bCs w:val="0"/>
          <w:color w:val="auto"/>
          <w:szCs w:val="20"/>
        </w:rPr>
      </w:pPr>
      <w:bookmarkStart w:id="1" w:name="_Hlt9666678"/>
      <w:bookmarkEnd w:id="1"/>
      <w:bookmarkStart w:id="2" w:name="_Toc13560"/>
      <w:bookmarkStart w:id="3" w:name="_Toc20014"/>
      <w:bookmarkStart w:id="4" w:name="_Toc16531"/>
      <w:r>
        <w:rPr>
          <w:rFonts w:hint="eastAsia"/>
          <w:color w:val="auto"/>
          <w:lang w:val="zh-CN"/>
        </w:rPr>
        <w:t>竞争性谈判公告</w:t>
      </w:r>
      <w:bookmarkEnd w:id="2"/>
      <w:bookmarkEnd w:id="3"/>
    </w:p>
    <w:p w14:paraId="6BDFB034">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1.采购条件</w:t>
      </w:r>
    </w:p>
    <w:p w14:paraId="645338EB">
      <w:pPr>
        <w:keepNext w:val="0"/>
        <w:keepLines w:val="0"/>
        <w:pageBreakBefore w:val="0"/>
        <w:kinsoku/>
        <w:wordWrap/>
        <w:overflowPunct/>
        <w:topLinePunct w:val="0"/>
        <w:bidi w:val="0"/>
        <w:spacing w:line="336" w:lineRule="auto"/>
        <w:ind w:left="0" w:right="0"/>
        <w:jc w:val="both"/>
        <w:textAlignment w:val="auto"/>
        <w:rPr>
          <w:rFonts w:hAnsi="宋体" w:cs="宋体"/>
          <w:color w:val="auto"/>
          <w:sz w:val="24"/>
          <w:szCs w:val="24"/>
        </w:rPr>
      </w:pPr>
      <w:r>
        <w:rPr>
          <w:rFonts w:hint="eastAsia"/>
          <w:color w:val="auto"/>
          <w:sz w:val="24"/>
          <w:szCs w:val="24"/>
        </w:rPr>
        <w:t xml:space="preserve">   </w:t>
      </w:r>
      <w:r>
        <w:rPr>
          <w:rFonts w:hint="eastAsia"/>
          <w:sz w:val="24"/>
          <w:szCs w:val="24"/>
        </w:rPr>
        <w:t xml:space="preserve"> </w:t>
      </w:r>
      <w:r>
        <w:rPr>
          <w:rFonts w:hint="eastAsia"/>
          <w:sz w:val="24"/>
          <w:szCs w:val="24"/>
          <w:lang w:eastAsia="zh-CN"/>
        </w:rPr>
        <w:t>金岭矿业选矿技术提升改造项目可行性研究咨询服务采购项目</w:t>
      </w:r>
      <w:r>
        <w:rPr>
          <w:rFonts w:hint="eastAsia"/>
          <w:sz w:val="24"/>
          <w:szCs w:val="24"/>
        </w:rPr>
        <w:t>，采购人为</w:t>
      </w:r>
      <w:r>
        <w:rPr>
          <w:rFonts w:hint="eastAsia"/>
          <w:sz w:val="24"/>
          <w:szCs w:val="24"/>
          <w:u w:val="single"/>
        </w:rPr>
        <w:t xml:space="preserve">山东金岭矿业股份有限公司 </w:t>
      </w:r>
      <w:r>
        <w:rPr>
          <w:rFonts w:hint="eastAsia"/>
          <w:sz w:val="24"/>
          <w:szCs w:val="24"/>
        </w:rPr>
        <w:t>，采购项目资金来自</w:t>
      </w:r>
      <w:r>
        <w:rPr>
          <w:rFonts w:hint="eastAsia"/>
          <w:sz w:val="24"/>
          <w:szCs w:val="24"/>
          <w:u w:val="single"/>
        </w:rPr>
        <w:t>企业自筹</w:t>
      </w:r>
      <w:r>
        <w:rPr>
          <w:rFonts w:hint="eastAsia"/>
          <w:sz w:val="24"/>
          <w:szCs w:val="24"/>
        </w:rPr>
        <w:t>，出资比例为</w:t>
      </w:r>
      <w:r>
        <w:rPr>
          <w:rFonts w:hint="eastAsia"/>
          <w:sz w:val="24"/>
          <w:szCs w:val="24"/>
          <w:u w:val="single"/>
        </w:rPr>
        <w:t>100%</w:t>
      </w:r>
      <w:r>
        <w:rPr>
          <w:rFonts w:hint="eastAsia"/>
          <w:sz w:val="24"/>
          <w:szCs w:val="24"/>
        </w:rPr>
        <w:t>。该项目已具备采购条件，现对该项目进行竞争性谈判采购。</w:t>
      </w:r>
    </w:p>
    <w:p w14:paraId="6ECC1F7F">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2.采购项目名称及内容：</w:t>
      </w:r>
    </w:p>
    <w:p w14:paraId="3EA7B676">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ascii="宋体" w:hAnsi="宋体" w:cs="宋体"/>
          <w:b/>
          <w:bCs/>
          <w:color w:val="auto"/>
          <w:sz w:val="24"/>
          <w:szCs w:val="24"/>
          <w:lang w:val="zh-CN"/>
        </w:rPr>
      </w:pPr>
      <w:r>
        <w:rPr>
          <w:rFonts w:hint="eastAsia" w:ascii="宋体" w:hAnsi="宋体" w:cs="宋体"/>
          <w:color w:val="auto"/>
          <w:sz w:val="24"/>
          <w:szCs w:val="24"/>
          <w:lang w:val="zh-CN"/>
        </w:rPr>
        <w:t>2.1项目编号：</w:t>
      </w:r>
      <w:r>
        <w:rPr>
          <w:rFonts w:hint="eastAsia" w:ascii="宋体" w:hAnsi="宋体" w:cs="宋体"/>
          <w:color w:val="auto"/>
          <w:sz w:val="24"/>
          <w:szCs w:val="24"/>
          <w:lang w:val="zh-CN"/>
        </w:rPr>
        <w:fldChar w:fldCharType="begin"/>
      </w:r>
      <w:r>
        <w:rPr>
          <w:rFonts w:hint="eastAsia" w:ascii="宋体" w:hAnsi="宋体" w:cs="宋体"/>
          <w:color w:val="auto"/>
          <w:sz w:val="24"/>
          <w:szCs w:val="24"/>
          <w:lang w:val="zh-CN"/>
        </w:rPr>
        <w:instrText xml:space="preserve"> HYPERLINK "javascript:WebForm_DoPostBackWithOptions(new WebForm_PostBackOptions("LinkButton1", "", true, "", "", false, true))" </w:instrText>
      </w:r>
      <w:r>
        <w:rPr>
          <w:rFonts w:hint="eastAsia" w:ascii="宋体" w:hAnsi="宋体" w:cs="宋体"/>
          <w:color w:val="auto"/>
          <w:sz w:val="24"/>
          <w:szCs w:val="24"/>
          <w:lang w:val="zh-CN"/>
        </w:rPr>
        <w:fldChar w:fldCharType="separate"/>
      </w:r>
      <w:r>
        <w:rPr>
          <w:rFonts w:hint="eastAsia" w:ascii="宋体" w:hAnsi="宋体" w:cs="宋体"/>
          <w:color w:val="auto"/>
          <w:sz w:val="24"/>
          <w:szCs w:val="24"/>
          <w:lang w:val="zh-CN"/>
        </w:rPr>
        <w:t>611319625111184</w:t>
      </w:r>
      <w:r>
        <w:rPr>
          <w:rFonts w:hint="eastAsia" w:ascii="宋体" w:hAnsi="宋体" w:cs="宋体"/>
          <w:color w:val="auto"/>
          <w:sz w:val="24"/>
          <w:szCs w:val="24"/>
          <w:lang w:val="zh-CN"/>
        </w:rPr>
        <w:fldChar w:fldCharType="end"/>
      </w:r>
    </w:p>
    <w:p w14:paraId="7A710F5E">
      <w:pPr>
        <w:autoSpaceDE w:val="0"/>
        <w:autoSpaceDN w:val="0"/>
        <w:adjustRightInd w:val="0"/>
        <w:spacing w:line="360" w:lineRule="auto"/>
        <w:ind w:firstLine="480" w:firstLineChars="200"/>
        <w:jc w:val="left"/>
        <w:rPr>
          <w:sz w:val="24"/>
          <w:szCs w:val="24"/>
          <w:u w:val="single"/>
        </w:rPr>
      </w:pPr>
      <w:r>
        <w:rPr>
          <w:rFonts w:hint="eastAsia" w:ascii="宋体" w:hAnsi="宋体"/>
          <w:sz w:val="24"/>
          <w:lang w:val="zh-CN"/>
        </w:rPr>
        <w:t>2</w:t>
      </w:r>
      <w:r>
        <w:rPr>
          <w:rFonts w:hint="eastAsia" w:ascii="宋体" w:hAnsi="宋体"/>
          <w:sz w:val="24"/>
          <w:highlight w:val="none"/>
          <w:lang w:val="zh-CN"/>
        </w:rPr>
        <w:t>.2项目名称：</w:t>
      </w:r>
      <w:r>
        <w:rPr>
          <w:rFonts w:hint="eastAsia"/>
          <w:sz w:val="24"/>
          <w:szCs w:val="24"/>
          <w:lang w:eastAsia="zh-CN"/>
        </w:rPr>
        <w:t>金岭矿业选矿技术提升改造项目可行性研究咨询服务采购项目</w:t>
      </w:r>
    </w:p>
    <w:p w14:paraId="2AF4BE4D">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2.3采购方式：竞争性谈判</w:t>
      </w:r>
    </w:p>
    <w:p w14:paraId="63142492">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ascii="宋体" w:hAnsi="宋体"/>
          <w:sz w:val="24"/>
          <w:highlight w:val="none"/>
          <w:lang w:val="zh-CN" w:eastAsia="zh-CN"/>
        </w:rPr>
      </w:pPr>
      <w:r>
        <w:rPr>
          <w:rFonts w:hint="eastAsia" w:ascii="宋体" w:hAnsi="宋体" w:cs="宋体"/>
          <w:color w:val="auto"/>
          <w:sz w:val="24"/>
          <w:szCs w:val="24"/>
          <w:highlight w:val="none"/>
          <w:lang w:val="zh-CN"/>
        </w:rPr>
        <w:t>2.4采购内容：完成</w:t>
      </w:r>
      <w:r>
        <w:rPr>
          <w:rFonts w:hint="eastAsia" w:ascii="宋体" w:hAnsi="宋体"/>
          <w:sz w:val="24"/>
          <w:highlight w:val="none"/>
          <w:lang w:eastAsia="zh-CN"/>
        </w:rPr>
        <w:t>金岭矿业</w:t>
      </w:r>
      <w:r>
        <w:rPr>
          <w:rFonts w:hint="eastAsia" w:ascii="宋体" w:hAnsi="宋体"/>
          <w:sz w:val="24"/>
          <w:highlight w:val="none"/>
          <w:lang w:val="en-US" w:eastAsia="zh-CN"/>
        </w:rPr>
        <w:t>选矿技术提升改造项目可行性研究，出具项目可行性研究报告。</w:t>
      </w:r>
    </w:p>
    <w:p w14:paraId="13B1C2D6">
      <w:pPr>
        <w:keepNext w:val="0"/>
        <w:keepLines w:val="0"/>
        <w:pageBreakBefore w:val="0"/>
        <w:kinsoku/>
        <w:wordWrap/>
        <w:overflowPunct/>
        <w:topLinePunct w:val="0"/>
        <w:autoSpaceDE w:val="0"/>
        <w:autoSpaceDN w:val="0"/>
        <w:bidi w:val="0"/>
        <w:adjustRightInd w:val="0"/>
        <w:spacing w:line="336" w:lineRule="auto"/>
        <w:ind w:left="0" w:right="0"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lang w:val="zh-CN" w:eastAsia="zh-CN"/>
        </w:rPr>
        <w:t>2.5报告交付时间：</w:t>
      </w:r>
      <w:r>
        <w:rPr>
          <w:rFonts w:hint="eastAsia"/>
          <w:color w:val="auto"/>
          <w:sz w:val="24"/>
          <w:szCs w:val="24"/>
          <w:highlight w:val="none"/>
          <w:lang w:val="en-US" w:eastAsia="zh-CN"/>
        </w:rPr>
        <w:t>合同签订后25日内交付</w:t>
      </w:r>
      <w:r>
        <w:rPr>
          <w:rFonts w:hint="eastAsia" w:ascii="宋体" w:hAnsi="宋体"/>
          <w:sz w:val="24"/>
          <w:highlight w:val="none"/>
          <w:lang w:val="en-US" w:eastAsia="zh-CN"/>
        </w:rPr>
        <w:t>项目可行性研究报告</w:t>
      </w:r>
      <w:r>
        <w:rPr>
          <w:rFonts w:hint="eastAsia"/>
          <w:color w:val="auto"/>
          <w:sz w:val="24"/>
          <w:szCs w:val="24"/>
          <w:highlight w:val="none"/>
          <w:lang w:val="en-US" w:eastAsia="zh-CN"/>
        </w:rPr>
        <w:t>。</w:t>
      </w:r>
    </w:p>
    <w:p w14:paraId="5045E6EF">
      <w:pPr>
        <w:keepNext w:val="0"/>
        <w:keepLines w:val="0"/>
        <w:pageBreakBefore w:val="0"/>
        <w:kinsoku/>
        <w:wordWrap/>
        <w:overflowPunct/>
        <w:topLinePunct w:val="0"/>
        <w:bidi w:val="0"/>
        <w:adjustRightInd w:val="0"/>
        <w:snapToGrid w:val="0"/>
        <w:spacing w:line="336" w:lineRule="auto"/>
        <w:ind w:left="0" w:right="0" w:firstLine="487" w:firstLineChars="202"/>
        <w:jc w:val="both"/>
        <w:textAlignment w:val="auto"/>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3.谈判供应商资格要求：</w:t>
      </w:r>
    </w:p>
    <w:p w14:paraId="4B8AECFC">
      <w:pPr>
        <w:keepNext w:val="0"/>
        <w:keepLines w:val="0"/>
        <w:pageBreakBefore w:val="0"/>
        <w:kinsoku/>
        <w:wordWrap/>
        <w:overflowPunct/>
        <w:topLinePunct w:val="0"/>
        <w:bidi w:val="0"/>
        <w:spacing w:line="336" w:lineRule="auto"/>
        <w:ind w:left="0" w:right="0" w:firstLine="424" w:firstLineChars="177"/>
        <w:jc w:val="both"/>
        <w:textAlignment w:val="auto"/>
        <w:rPr>
          <w:rFonts w:hint="eastAsia" w:ascii="宋体" w:hAnsi="宋体"/>
          <w:color w:val="auto"/>
          <w:sz w:val="24"/>
          <w:highlight w:val="none"/>
        </w:rPr>
      </w:pPr>
      <w:r>
        <w:rPr>
          <w:rFonts w:hint="eastAsia" w:ascii="宋体" w:hAnsi="宋体" w:cs="宋体"/>
          <w:color w:val="auto"/>
          <w:kern w:val="0"/>
          <w:sz w:val="24"/>
          <w:szCs w:val="24"/>
          <w:highlight w:val="none"/>
          <w:lang w:val="zh-CN"/>
        </w:rPr>
        <w:t>3.1在中华人民共和国注册并具有独立法人资格</w:t>
      </w:r>
      <w:r>
        <w:rPr>
          <w:rFonts w:hint="eastAsia" w:ascii="宋体" w:hAnsi="宋体"/>
          <w:color w:val="auto"/>
          <w:sz w:val="24"/>
          <w:highlight w:val="none"/>
        </w:rPr>
        <w:t>。</w:t>
      </w:r>
    </w:p>
    <w:p w14:paraId="574CB96D">
      <w:pPr>
        <w:keepNext w:val="0"/>
        <w:keepLines w:val="0"/>
        <w:pageBreakBefore w:val="0"/>
        <w:kinsoku/>
        <w:wordWrap/>
        <w:overflowPunct/>
        <w:topLinePunct w:val="0"/>
        <w:bidi w:val="0"/>
        <w:spacing w:line="336" w:lineRule="auto"/>
        <w:ind w:left="0" w:right="0" w:firstLine="424" w:firstLineChars="177"/>
        <w:jc w:val="both"/>
        <w:textAlignment w:val="auto"/>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lang w:val="zh-CN"/>
        </w:rPr>
        <w:t>业绩要求：谈判供应商应具有相关</w:t>
      </w:r>
      <w:r>
        <w:rPr>
          <w:rFonts w:hint="eastAsia" w:ascii="宋体" w:hAnsi="宋体"/>
          <w:sz w:val="24"/>
          <w:highlight w:val="none"/>
          <w:lang w:val="en-US" w:eastAsia="zh-CN"/>
        </w:rPr>
        <w:t>矿山设计或项目可行性研究的</w:t>
      </w:r>
      <w:r>
        <w:rPr>
          <w:rFonts w:hint="eastAsia" w:ascii="宋体" w:hAnsi="宋体" w:eastAsia="宋体" w:cs="宋体"/>
          <w:color w:val="auto"/>
          <w:kern w:val="0"/>
          <w:sz w:val="24"/>
          <w:szCs w:val="24"/>
          <w:highlight w:val="none"/>
          <w:lang w:val="zh-CN"/>
        </w:rPr>
        <w:t>实践经验业绩（以202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年1月至今的合同为准，业绩证明材料：包含合同封面、服务范围、签订时间、签字盖章页等的合同扫描件）。</w:t>
      </w:r>
    </w:p>
    <w:p w14:paraId="574A2FB4">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w:t>
      </w:r>
      <w:r>
        <w:rPr>
          <w:rFonts w:hint="eastAsia" w:ascii="宋体" w:hAnsi="宋体" w:cs="宋体"/>
          <w:color w:val="auto"/>
          <w:kern w:val="0"/>
          <w:sz w:val="24"/>
          <w:szCs w:val="24"/>
          <w:highlight w:val="none"/>
          <w:lang w:val="en-US" w:eastAsia="zh-CN"/>
        </w:rPr>
        <w:t xml:space="preserve">3 </w:t>
      </w:r>
      <w:r>
        <w:rPr>
          <w:rFonts w:hint="eastAsia" w:ascii="宋体" w:hAnsi="宋体" w:cs="宋体"/>
          <w:color w:val="auto"/>
          <w:kern w:val="0"/>
          <w:sz w:val="24"/>
          <w:szCs w:val="24"/>
          <w:highlight w:val="none"/>
          <w:lang w:val="zh-CN"/>
        </w:rPr>
        <w:t>谈判供应商未被“信用中国”网站列入失信被执行人、重大税收违法失信主体；（须提供网络截图并加盖公司公章）。</w:t>
      </w:r>
    </w:p>
    <w:p w14:paraId="7C7230D9">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3.</w:t>
      </w:r>
      <w:r>
        <w:rPr>
          <w:rFonts w:hint="eastAsia" w:ascii="宋体" w:hAnsi="宋体" w:cs="宋体"/>
          <w:color w:val="auto"/>
          <w:kern w:val="0"/>
          <w:sz w:val="24"/>
          <w:szCs w:val="24"/>
          <w:highlight w:val="none"/>
          <w:lang w:val="en-US" w:eastAsia="zh-CN"/>
        </w:rPr>
        <w:t xml:space="preserve">4 </w:t>
      </w:r>
      <w:r>
        <w:rPr>
          <w:rFonts w:hint="eastAsia" w:ascii="宋体" w:hAnsi="宋体" w:cs="宋体"/>
          <w:color w:val="auto"/>
          <w:kern w:val="0"/>
          <w:sz w:val="24"/>
          <w:szCs w:val="24"/>
          <w:highlight w:val="none"/>
          <w:lang w:val="zh-CN"/>
        </w:rPr>
        <w:t>谈判供应商财务状况良好，没有处于财产被没收、接管、破产或其他关、停、并、转的状态，须提供近三年（20</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lang w:val="zh-CN" w:eastAsia="zh-CN"/>
        </w:rPr>
        <w:t>、</w:t>
      </w:r>
      <w:r>
        <w:rPr>
          <w:rFonts w:hint="eastAsia" w:ascii="宋体" w:hAnsi="宋体" w:cs="宋体"/>
          <w:color w:val="auto"/>
          <w:kern w:val="0"/>
          <w:sz w:val="24"/>
          <w:szCs w:val="24"/>
          <w:highlight w:val="none"/>
          <w:lang w:val="zh-CN"/>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val="zh-CN"/>
        </w:rPr>
        <w:t>202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年）财务审计报告或财务报表（完整会计年度资产负债表和损益表）；如近期成立的企业提供成立至今的财务报表或报告。</w:t>
      </w:r>
    </w:p>
    <w:p w14:paraId="661B2801">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3.</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本项目不接受联合体投标。</w:t>
      </w:r>
    </w:p>
    <w:p w14:paraId="1B333723">
      <w:pPr>
        <w:keepNext w:val="0"/>
        <w:keepLines w:val="0"/>
        <w:pageBreakBefore w:val="0"/>
        <w:kinsoku/>
        <w:wordWrap/>
        <w:overflowPunct/>
        <w:topLinePunct w:val="0"/>
        <w:autoSpaceDE w:val="0"/>
        <w:autoSpaceDN w:val="0"/>
        <w:bidi w:val="0"/>
        <w:adjustRightInd w:val="0"/>
        <w:spacing w:line="336" w:lineRule="auto"/>
        <w:ind w:left="0" w:right="0" w:firstLine="487" w:firstLineChars="20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4.谈判文件发售办法：</w:t>
      </w:r>
    </w:p>
    <w:p w14:paraId="01B14DFF">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bCs/>
          <w:color w:val="auto"/>
          <w:kern w:val="0"/>
          <w:sz w:val="24"/>
          <w:szCs w:val="24"/>
        </w:rPr>
        <w:t>4.1本项目实行网上报名，网上发售电子版谈判文件。凡有意参加投标者，请于</w:t>
      </w:r>
      <w:r>
        <w:rPr>
          <w:rFonts w:hint="eastAsia" w:ascii="宋体" w:hAnsi="宋体" w:cs="宋体"/>
          <w:bCs/>
          <w:color w:val="auto"/>
          <w:kern w:val="0"/>
          <w:sz w:val="24"/>
          <w:szCs w:val="24"/>
          <w:u w:val="single"/>
        </w:rPr>
        <w:t xml:space="preserve"> </w:t>
      </w:r>
      <w:r>
        <w:rPr>
          <w:rFonts w:hint="eastAsia" w:ascii="宋体" w:hAnsi="宋体" w:cs="宋体"/>
          <w:bCs/>
          <w:color w:val="FF0000"/>
          <w:kern w:val="0"/>
          <w:sz w:val="24"/>
          <w:szCs w:val="24"/>
          <w:highlight w:val="none"/>
          <w:u w:val="single"/>
        </w:rPr>
        <w:t>202</w:t>
      </w:r>
      <w:r>
        <w:rPr>
          <w:rFonts w:hint="eastAsia" w:ascii="宋体" w:hAnsi="宋体" w:cs="宋体"/>
          <w:bCs/>
          <w:color w:val="FF0000"/>
          <w:kern w:val="0"/>
          <w:sz w:val="24"/>
          <w:szCs w:val="24"/>
          <w:highlight w:val="none"/>
          <w:u w:val="single"/>
          <w:lang w:val="en-US" w:eastAsia="zh-CN"/>
        </w:rPr>
        <w:t>5</w:t>
      </w:r>
      <w:r>
        <w:rPr>
          <w:rFonts w:hint="eastAsia" w:ascii="宋体" w:hAnsi="宋体" w:cs="宋体"/>
          <w:bCs/>
          <w:color w:val="FF0000"/>
          <w:kern w:val="0"/>
          <w:sz w:val="24"/>
          <w:szCs w:val="24"/>
          <w:highlight w:val="none"/>
        </w:rPr>
        <w:t>年</w:t>
      </w:r>
      <w:r>
        <w:rPr>
          <w:rFonts w:hint="eastAsia" w:ascii="宋体" w:hAnsi="宋体" w:cs="宋体"/>
          <w:bCs/>
          <w:color w:val="FF0000"/>
          <w:kern w:val="0"/>
          <w:sz w:val="24"/>
          <w:szCs w:val="24"/>
          <w:highlight w:val="none"/>
          <w:u w:val="single"/>
          <w:lang w:val="en-US" w:eastAsia="zh-CN"/>
        </w:rPr>
        <w:t>11</w:t>
      </w:r>
      <w:r>
        <w:rPr>
          <w:rFonts w:hint="eastAsia" w:ascii="宋体" w:hAnsi="宋体" w:cs="宋体"/>
          <w:bCs/>
          <w:color w:val="FF0000"/>
          <w:kern w:val="0"/>
          <w:sz w:val="24"/>
          <w:szCs w:val="24"/>
          <w:highlight w:val="none"/>
        </w:rPr>
        <w:t>月</w:t>
      </w:r>
      <w:r>
        <w:rPr>
          <w:rFonts w:hint="eastAsia" w:ascii="宋体" w:hAnsi="宋体" w:cs="宋体"/>
          <w:bCs/>
          <w:color w:val="FF0000"/>
          <w:kern w:val="0"/>
          <w:sz w:val="24"/>
          <w:szCs w:val="24"/>
          <w:highlight w:val="none"/>
          <w:u w:val="single"/>
          <w:lang w:val="en-US" w:eastAsia="zh-CN"/>
        </w:rPr>
        <w:t>12</w:t>
      </w:r>
      <w:r>
        <w:rPr>
          <w:rFonts w:hint="eastAsia" w:ascii="宋体" w:hAnsi="宋体" w:cs="宋体"/>
          <w:bCs/>
          <w:color w:val="FF0000"/>
          <w:kern w:val="0"/>
          <w:sz w:val="24"/>
          <w:szCs w:val="24"/>
          <w:highlight w:val="none"/>
        </w:rPr>
        <w:t>日至</w:t>
      </w:r>
      <w:r>
        <w:rPr>
          <w:rFonts w:hint="eastAsia" w:ascii="宋体" w:hAnsi="宋体" w:cs="宋体"/>
          <w:bCs/>
          <w:color w:val="FF0000"/>
          <w:kern w:val="0"/>
          <w:sz w:val="24"/>
          <w:szCs w:val="24"/>
          <w:highlight w:val="none"/>
          <w:u w:val="single"/>
        </w:rPr>
        <w:t xml:space="preserve"> 202</w:t>
      </w:r>
      <w:r>
        <w:rPr>
          <w:rFonts w:hint="eastAsia" w:ascii="宋体" w:hAnsi="宋体" w:cs="宋体"/>
          <w:bCs/>
          <w:color w:val="FF0000"/>
          <w:kern w:val="0"/>
          <w:sz w:val="24"/>
          <w:szCs w:val="24"/>
          <w:highlight w:val="none"/>
          <w:u w:val="single"/>
          <w:lang w:val="en-US" w:eastAsia="zh-CN"/>
        </w:rPr>
        <w:t>5</w:t>
      </w:r>
      <w:r>
        <w:rPr>
          <w:rFonts w:hint="eastAsia" w:ascii="宋体" w:hAnsi="宋体" w:cs="宋体"/>
          <w:bCs/>
          <w:color w:val="FF0000"/>
          <w:kern w:val="0"/>
          <w:sz w:val="24"/>
          <w:szCs w:val="24"/>
          <w:highlight w:val="none"/>
        </w:rPr>
        <w:t>年</w:t>
      </w:r>
      <w:r>
        <w:rPr>
          <w:rFonts w:hint="eastAsia" w:ascii="宋体" w:hAnsi="宋体" w:cs="宋体"/>
          <w:bCs/>
          <w:color w:val="FF0000"/>
          <w:kern w:val="0"/>
          <w:sz w:val="24"/>
          <w:szCs w:val="24"/>
          <w:highlight w:val="none"/>
          <w:u w:val="single"/>
          <w:lang w:val="en-US" w:eastAsia="zh-CN"/>
        </w:rPr>
        <w:t>11</w:t>
      </w:r>
      <w:r>
        <w:rPr>
          <w:rFonts w:hint="eastAsia" w:ascii="宋体" w:hAnsi="宋体" w:cs="宋体"/>
          <w:bCs/>
          <w:color w:val="FF0000"/>
          <w:kern w:val="0"/>
          <w:sz w:val="24"/>
          <w:szCs w:val="24"/>
          <w:highlight w:val="none"/>
        </w:rPr>
        <w:t>月</w:t>
      </w:r>
      <w:r>
        <w:rPr>
          <w:rFonts w:hint="eastAsia" w:ascii="宋体" w:hAnsi="宋体" w:cs="宋体"/>
          <w:bCs/>
          <w:color w:val="FF0000"/>
          <w:kern w:val="0"/>
          <w:sz w:val="24"/>
          <w:szCs w:val="24"/>
          <w:highlight w:val="none"/>
          <w:u w:val="single"/>
          <w:lang w:val="en-US" w:eastAsia="zh-CN"/>
        </w:rPr>
        <w:t>14</w:t>
      </w:r>
      <w:r>
        <w:rPr>
          <w:rFonts w:hint="eastAsia" w:ascii="宋体" w:hAnsi="宋体" w:cs="宋体"/>
          <w:bCs/>
          <w:color w:val="FF0000"/>
          <w:kern w:val="0"/>
          <w:sz w:val="24"/>
          <w:szCs w:val="24"/>
          <w:highlight w:val="none"/>
        </w:rPr>
        <w:t>日</w:t>
      </w:r>
      <w:r>
        <w:rPr>
          <w:rFonts w:hint="eastAsia" w:ascii="宋体" w:hAnsi="宋体" w:cs="宋体"/>
          <w:bCs/>
          <w:color w:val="auto"/>
          <w:kern w:val="0"/>
          <w:sz w:val="24"/>
          <w:szCs w:val="24"/>
        </w:rPr>
        <w:t>登录山钢集团阳光购销平台</w:t>
      </w:r>
      <w:r>
        <w:rPr>
          <w:rFonts w:hint="eastAsia" w:ascii="宋体" w:hAnsi="宋体" w:cs="宋体"/>
          <w:color w:val="auto"/>
          <w:kern w:val="0"/>
          <w:sz w:val="24"/>
          <w:szCs w:val="24"/>
        </w:rPr>
        <w:t>（http://bams.shansteelgroup.com/）,报名并购买下载电子版谈判文件。</w:t>
      </w:r>
    </w:p>
    <w:p w14:paraId="6B51E790">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color w:val="auto"/>
          <w:kern w:val="0"/>
          <w:sz w:val="24"/>
          <w:szCs w:val="24"/>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085E6112">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color w:val="auto"/>
          <w:kern w:val="0"/>
          <w:sz w:val="24"/>
          <w:szCs w:val="24"/>
        </w:rPr>
        <w:t>4.3 谈判文件</w:t>
      </w:r>
      <w:r>
        <w:rPr>
          <w:rFonts w:hint="eastAsia" w:ascii="宋体" w:hAnsi="宋体" w:cs="宋体"/>
          <w:b/>
          <w:color w:val="auto"/>
          <w:kern w:val="0"/>
          <w:sz w:val="24"/>
          <w:szCs w:val="24"/>
        </w:rPr>
        <w:t>每包售价</w:t>
      </w:r>
      <w:r>
        <w:rPr>
          <w:rFonts w:hint="eastAsia" w:ascii="宋体" w:hAnsi="宋体" w:cs="宋体"/>
          <w:b/>
          <w:color w:val="auto"/>
          <w:kern w:val="0"/>
          <w:sz w:val="24"/>
          <w:szCs w:val="24"/>
          <w:u w:val="single"/>
        </w:rPr>
        <w:t xml:space="preserve"> 200 </w:t>
      </w:r>
      <w:r>
        <w:rPr>
          <w:rFonts w:hint="eastAsia" w:ascii="宋体" w:hAnsi="宋体" w:cs="宋体"/>
          <w:b/>
          <w:color w:val="auto"/>
          <w:kern w:val="0"/>
          <w:sz w:val="24"/>
          <w:szCs w:val="24"/>
        </w:rPr>
        <w:t>元</w:t>
      </w:r>
      <w:r>
        <w:rPr>
          <w:rFonts w:hint="eastAsia" w:ascii="宋体" w:hAnsi="宋体" w:cs="宋体"/>
          <w:color w:val="auto"/>
          <w:kern w:val="0"/>
          <w:sz w:val="24"/>
          <w:szCs w:val="24"/>
        </w:rPr>
        <w:t>，售后不退；从谈判供应商基本账户电汇或转账到采购人账户，并在银行汇款或转账备注栏中注明项目编号(后四位) 及款项性质（标书费）；否则，采购人有权不予确认，由此引起的后果由潜在谈判供应商承担。</w:t>
      </w:r>
    </w:p>
    <w:p w14:paraId="7D427EA4">
      <w:pPr>
        <w:keepNext w:val="0"/>
        <w:keepLines w:val="0"/>
        <w:pageBreakBefore w:val="0"/>
        <w:kinsoku/>
        <w:wordWrap/>
        <w:overflowPunct/>
        <w:topLinePunct w:val="0"/>
        <w:autoSpaceDE w:val="0"/>
        <w:autoSpaceDN w:val="0"/>
        <w:bidi w:val="0"/>
        <w:adjustRightInd w:val="0"/>
        <w:spacing w:line="336" w:lineRule="auto"/>
        <w:ind w:left="0" w:right="0" w:firstLine="484" w:firstLineChars="202"/>
        <w:jc w:val="both"/>
        <w:textAlignment w:val="auto"/>
        <w:rPr>
          <w:rFonts w:ascii="宋体" w:hAnsi="宋体" w:cs="宋体"/>
          <w:color w:val="auto"/>
          <w:kern w:val="0"/>
          <w:sz w:val="24"/>
          <w:szCs w:val="24"/>
        </w:rPr>
      </w:pPr>
      <w:r>
        <w:rPr>
          <w:rFonts w:hint="eastAsia" w:ascii="宋体" w:hAnsi="宋体" w:cs="宋体"/>
          <w:color w:val="auto"/>
          <w:kern w:val="0"/>
          <w:sz w:val="24"/>
          <w:szCs w:val="24"/>
        </w:rPr>
        <w:t>标书费只开具收据不退还，谈判供应商交纳标书费后，采购人第二个工作日确认后,谈判供应商可直接用注册的账户和密码从网上下载谈判文件。</w:t>
      </w:r>
    </w:p>
    <w:p w14:paraId="778154EF">
      <w:pPr>
        <w:keepNext w:val="0"/>
        <w:keepLines w:val="0"/>
        <w:pageBreakBefore w:val="0"/>
        <w:kinsoku/>
        <w:wordWrap/>
        <w:overflowPunct/>
        <w:topLinePunct w:val="0"/>
        <w:autoSpaceDE w:val="0"/>
        <w:autoSpaceDN w:val="0"/>
        <w:bidi w:val="0"/>
        <w:adjustRightInd w:val="0"/>
        <w:spacing w:line="336" w:lineRule="auto"/>
        <w:ind w:left="0" w:right="0" w:firstLine="324"/>
        <w:jc w:val="both"/>
        <w:textAlignment w:val="auto"/>
        <w:rPr>
          <w:rFonts w:ascii="宋体" w:hAnsi="宋体" w:cs="宋体"/>
          <w:b/>
          <w:color w:val="auto"/>
          <w:kern w:val="0"/>
          <w:sz w:val="24"/>
          <w:szCs w:val="24"/>
        </w:rPr>
      </w:pPr>
      <w:r>
        <w:rPr>
          <w:rFonts w:hint="eastAsia" w:ascii="宋体" w:hAnsi="宋体" w:cs="宋体"/>
          <w:b/>
          <w:color w:val="auto"/>
          <w:kern w:val="0"/>
          <w:sz w:val="24"/>
          <w:szCs w:val="24"/>
        </w:rPr>
        <w:t>4.4 采购人账户信息</w:t>
      </w:r>
    </w:p>
    <w:p w14:paraId="403F67F5">
      <w:pPr>
        <w:keepNext w:val="0"/>
        <w:keepLines w:val="0"/>
        <w:pageBreakBefore w:val="0"/>
        <w:kinsoku/>
        <w:wordWrap/>
        <w:overflowPunct/>
        <w:topLinePunct w:val="0"/>
        <w:bidi w:val="0"/>
        <w:spacing w:line="336" w:lineRule="auto"/>
        <w:ind w:left="0" w:right="0" w:firstLine="482" w:firstLineChars="200"/>
        <w:jc w:val="both"/>
        <w:textAlignment w:val="auto"/>
        <w:rPr>
          <w:rFonts w:ascii="宋体" w:hAnsi="宋体" w:cs="宋体"/>
          <w:b/>
          <w:color w:val="auto"/>
          <w:kern w:val="0"/>
          <w:sz w:val="24"/>
          <w:szCs w:val="24"/>
        </w:rPr>
      </w:pPr>
      <w:r>
        <w:rPr>
          <w:rFonts w:hint="eastAsia" w:ascii="宋体" w:hAnsi="宋体" w:cs="宋体"/>
          <w:b/>
          <w:color w:val="auto"/>
          <w:kern w:val="0"/>
          <w:sz w:val="24"/>
          <w:szCs w:val="24"/>
        </w:rPr>
        <w:t>账 户 名：</w:t>
      </w:r>
      <w:r>
        <w:rPr>
          <w:rFonts w:hint="eastAsia" w:ascii="宋体" w:hAnsi="宋体" w:cs="宋体"/>
          <w:b/>
          <w:color w:val="auto"/>
          <w:kern w:val="0"/>
          <w:sz w:val="24"/>
          <w:szCs w:val="24"/>
          <w:u w:val="single"/>
          <w:lang w:eastAsia="zh-CN"/>
        </w:rPr>
        <w:t>山东金岭矿业股份有限公司</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rPr>
        <w:t xml:space="preserve"> </w:t>
      </w:r>
    </w:p>
    <w:p w14:paraId="1EBFD344">
      <w:pPr>
        <w:keepNext w:val="0"/>
        <w:keepLines w:val="0"/>
        <w:pageBreakBefore w:val="0"/>
        <w:kinsoku/>
        <w:wordWrap/>
        <w:overflowPunct/>
        <w:topLinePunct w:val="0"/>
        <w:autoSpaceDE w:val="0"/>
        <w:autoSpaceDN w:val="0"/>
        <w:bidi w:val="0"/>
        <w:adjustRightInd w:val="0"/>
        <w:spacing w:line="336" w:lineRule="auto"/>
        <w:ind w:left="0" w:right="0" w:firstLine="361" w:firstLineChars="150"/>
        <w:jc w:val="both"/>
        <w:textAlignment w:val="auto"/>
        <w:rPr>
          <w:rFonts w:ascii="宋体" w:hAnsi="宋体" w:cs="宋体"/>
          <w:b/>
          <w:color w:val="auto"/>
          <w:kern w:val="0"/>
          <w:sz w:val="24"/>
          <w:szCs w:val="24"/>
          <w:u w:val="single"/>
        </w:rPr>
      </w:pPr>
      <w:r>
        <w:rPr>
          <w:rFonts w:hint="eastAsia" w:ascii="宋体" w:hAnsi="宋体" w:cs="宋体"/>
          <w:b/>
          <w:color w:val="auto"/>
          <w:kern w:val="0"/>
          <w:sz w:val="24"/>
          <w:szCs w:val="24"/>
        </w:rPr>
        <w:t>银行账号：</w:t>
      </w:r>
      <w:r>
        <w:rPr>
          <w:rFonts w:hint="eastAsia" w:ascii="宋体" w:hAnsi="宋体" w:cs="宋体"/>
          <w:b/>
          <w:color w:val="auto"/>
          <w:kern w:val="0"/>
          <w:sz w:val="24"/>
          <w:szCs w:val="24"/>
          <w:u w:val="single"/>
        </w:rPr>
        <w:t xml:space="preserve">1603065809201000694 </w:t>
      </w:r>
    </w:p>
    <w:p w14:paraId="0CD75705">
      <w:pPr>
        <w:keepNext w:val="0"/>
        <w:keepLines w:val="0"/>
        <w:pageBreakBefore w:val="0"/>
        <w:kinsoku/>
        <w:wordWrap/>
        <w:overflowPunct/>
        <w:topLinePunct w:val="0"/>
        <w:autoSpaceDE w:val="0"/>
        <w:autoSpaceDN w:val="0"/>
        <w:bidi w:val="0"/>
        <w:adjustRightInd w:val="0"/>
        <w:spacing w:line="336" w:lineRule="auto"/>
        <w:ind w:left="0" w:right="0" w:firstLine="361" w:firstLineChars="150"/>
        <w:jc w:val="both"/>
        <w:textAlignment w:val="auto"/>
        <w:rPr>
          <w:rFonts w:ascii="宋体" w:hAnsi="宋体" w:cs="宋体"/>
          <w:b/>
          <w:color w:val="auto"/>
          <w:kern w:val="0"/>
          <w:sz w:val="24"/>
          <w:szCs w:val="24"/>
          <w:highlight w:val="yellow"/>
        </w:rPr>
      </w:pPr>
      <w:r>
        <w:rPr>
          <w:rFonts w:hint="eastAsia" w:ascii="宋体" w:hAnsi="宋体" w:cs="宋体"/>
          <w:b/>
          <w:color w:val="auto"/>
          <w:kern w:val="0"/>
          <w:sz w:val="24"/>
          <w:szCs w:val="24"/>
        </w:rPr>
        <w:t>开户银行：</w:t>
      </w:r>
      <w:r>
        <w:rPr>
          <w:rFonts w:hint="eastAsia" w:ascii="宋体" w:hAnsi="宋体" w:cs="宋体"/>
          <w:b/>
          <w:color w:val="auto"/>
          <w:kern w:val="0"/>
          <w:sz w:val="24"/>
          <w:szCs w:val="24"/>
          <w:highlight w:val="none"/>
          <w:u w:val="single"/>
        </w:rPr>
        <w:t xml:space="preserve">中国工商银行股份有限公司淄博高新支行 </w:t>
      </w:r>
    </w:p>
    <w:p w14:paraId="76DE3DD3">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kern w:val="0"/>
          <w:sz w:val="24"/>
          <w:szCs w:val="24"/>
        </w:rPr>
      </w:pPr>
      <w:r>
        <w:rPr>
          <w:rFonts w:hint="eastAsia" w:ascii="宋体" w:hAnsi="宋体" w:cs="宋体"/>
          <w:color w:val="auto"/>
          <w:kern w:val="0"/>
          <w:sz w:val="24"/>
          <w:szCs w:val="24"/>
        </w:rPr>
        <w:t>4.5 本项目不接受未购买本谈判文件的谈判供应商投标。</w:t>
      </w:r>
    </w:p>
    <w:p w14:paraId="36EB2D60">
      <w:pPr>
        <w:keepNext w:val="0"/>
        <w:keepLines w:val="0"/>
        <w:pageBreakBefore w:val="0"/>
        <w:kinsoku/>
        <w:wordWrap/>
        <w:overflowPunct/>
        <w:topLinePunct w:val="0"/>
        <w:bidi w:val="0"/>
        <w:spacing w:line="336" w:lineRule="auto"/>
        <w:ind w:left="0" w:right="0" w:firstLine="422"/>
        <w:jc w:val="both"/>
        <w:textAlignment w:val="auto"/>
        <w:rPr>
          <w:rFonts w:ascii="宋体" w:hAnsi="宋体" w:cs="宋体"/>
          <w:b/>
          <w:color w:val="auto"/>
          <w:sz w:val="24"/>
          <w:szCs w:val="24"/>
          <w:lang w:val="zh-CN"/>
        </w:rPr>
      </w:pPr>
      <w:r>
        <w:rPr>
          <w:rFonts w:hint="eastAsia" w:ascii="宋体" w:hAnsi="宋体" w:cs="宋体"/>
          <w:b/>
          <w:color w:val="auto"/>
          <w:sz w:val="24"/>
          <w:szCs w:val="24"/>
          <w:lang w:val="zh-CN"/>
        </w:rPr>
        <w:t>五、响应文件的递交</w:t>
      </w:r>
    </w:p>
    <w:p w14:paraId="5B7A7A19">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5.1谈判响应文件递交截止时间（开标时间）、地点。</w:t>
      </w:r>
    </w:p>
    <w:p w14:paraId="4B92BA3C">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b/>
          <w:color w:val="auto"/>
          <w:kern w:val="0"/>
          <w:sz w:val="24"/>
          <w:szCs w:val="24"/>
          <w:highlight w:val="yellow"/>
          <w:u w:val="single"/>
        </w:rPr>
      </w:pPr>
      <w:r>
        <w:rPr>
          <w:rFonts w:hint="eastAsia" w:ascii="宋体" w:hAnsi="宋体" w:cs="宋体"/>
          <w:color w:val="auto"/>
          <w:sz w:val="24"/>
          <w:szCs w:val="24"/>
        </w:rPr>
        <w:t>5.1.1谈判响应文件递交截止时间(开标时间)：</w:t>
      </w:r>
      <w:r>
        <w:rPr>
          <w:rFonts w:hint="eastAsia" w:ascii="宋体" w:hAnsi="宋体" w:cs="宋体"/>
          <w:b/>
          <w:color w:val="FF0000"/>
          <w:kern w:val="0"/>
          <w:sz w:val="24"/>
          <w:szCs w:val="24"/>
          <w:highlight w:val="none"/>
          <w:u w:val="single"/>
        </w:rPr>
        <w:t>202</w:t>
      </w:r>
      <w:r>
        <w:rPr>
          <w:rFonts w:hint="eastAsia" w:ascii="宋体" w:hAnsi="宋体" w:cs="宋体"/>
          <w:b/>
          <w:color w:val="FF0000"/>
          <w:kern w:val="0"/>
          <w:sz w:val="24"/>
          <w:szCs w:val="24"/>
          <w:highlight w:val="none"/>
          <w:u w:val="single"/>
          <w:lang w:val="en-US" w:eastAsia="zh-CN"/>
        </w:rPr>
        <w:t>5</w:t>
      </w:r>
      <w:r>
        <w:rPr>
          <w:rFonts w:hint="eastAsia" w:ascii="宋体" w:hAnsi="宋体" w:cs="宋体"/>
          <w:b/>
          <w:color w:val="FF0000"/>
          <w:kern w:val="0"/>
          <w:sz w:val="24"/>
          <w:szCs w:val="24"/>
          <w:highlight w:val="none"/>
          <w:u w:val="single"/>
        </w:rPr>
        <w:t>年</w:t>
      </w:r>
      <w:r>
        <w:rPr>
          <w:rFonts w:hint="eastAsia" w:ascii="宋体" w:hAnsi="宋体" w:cs="宋体"/>
          <w:b/>
          <w:color w:val="FF0000"/>
          <w:kern w:val="0"/>
          <w:sz w:val="24"/>
          <w:szCs w:val="24"/>
          <w:highlight w:val="none"/>
          <w:u w:val="single"/>
          <w:lang w:val="en-US" w:eastAsia="zh-CN"/>
        </w:rPr>
        <w:t>11</w:t>
      </w:r>
      <w:r>
        <w:rPr>
          <w:rFonts w:hint="eastAsia" w:ascii="宋体" w:hAnsi="宋体" w:cs="宋体"/>
          <w:b/>
          <w:color w:val="FF0000"/>
          <w:kern w:val="0"/>
          <w:sz w:val="24"/>
          <w:szCs w:val="24"/>
          <w:highlight w:val="none"/>
          <w:u w:val="single"/>
        </w:rPr>
        <w:t>月</w:t>
      </w:r>
      <w:r>
        <w:rPr>
          <w:rFonts w:hint="eastAsia" w:ascii="宋体" w:hAnsi="宋体" w:cs="宋体"/>
          <w:b/>
          <w:color w:val="FF0000"/>
          <w:kern w:val="0"/>
          <w:sz w:val="24"/>
          <w:szCs w:val="24"/>
          <w:highlight w:val="none"/>
          <w:u w:val="single"/>
          <w:lang w:val="en-US" w:eastAsia="zh-CN"/>
        </w:rPr>
        <w:t>19</w:t>
      </w:r>
      <w:r>
        <w:rPr>
          <w:rFonts w:hint="eastAsia" w:ascii="宋体" w:hAnsi="宋体" w:cs="宋体"/>
          <w:b/>
          <w:color w:val="FF0000"/>
          <w:kern w:val="0"/>
          <w:sz w:val="24"/>
          <w:szCs w:val="24"/>
          <w:highlight w:val="none"/>
          <w:u w:val="single"/>
        </w:rPr>
        <w:t>日</w:t>
      </w:r>
      <w:r>
        <w:rPr>
          <w:rFonts w:hint="eastAsia" w:ascii="宋体" w:hAnsi="宋体" w:cs="宋体"/>
          <w:b/>
          <w:color w:val="FF0000"/>
          <w:kern w:val="0"/>
          <w:sz w:val="24"/>
          <w:szCs w:val="24"/>
          <w:highlight w:val="none"/>
          <w:u w:val="single"/>
          <w:lang w:val="en-US" w:eastAsia="zh-CN"/>
        </w:rPr>
        <w:t>9</w:t>
      </w:r>
      <w:r>
        <w:rPr>
          <w:rFonts w:hint="eastAsia" w:ascii="宋体" w:hAnsi="宋体" w:cs="宋体"/>
          <w:b/>
          <w:color w:val="FF0000"/>
          <w:kern w:val="0"/>
          <w:sz w:val="24"/>
          <w:szCs w:val="24"/>
          <w:highlight w:val="none"/>
          <w:u w:val="single"/>
        </w:rPr>
        <w:t>:00</w:t>
      </w:r>
    </w:p>
    <w:p w14:paraId="23B22F99">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 xml:space="preserve">5.1.2开标地点: </w:t>
      </w:r>
      <w:r>
        <w:rPr>
          <w:rFonts w:hint="eastAsia" w:ascii="宋体" w:hAnsi="宋体" w:cs="宋体"/>
          <w:color w:val="auto"/>
          <w:sz w:val="24"/>
          <w:szCs w:val="24"/>
          <w:highlight w:val="none"/>
        </w:rPr>
        <w:t>山东金岭矿业股份有限公司</w:t>
      </w:r>
      <w:r>
        <w:rPr>
          <w:rFonts w:hint="eastAsia" w:ascii="宋体" w:hAnsi="宋体" w:cs="宋体"/>
          <w:color w:val="auto"/>
          <w:sz w:val="24"/>
          <w:szCs w:val="24"/>
          <w:highlight w:val="none"/>
          <w:lang w:eastAsia="zh-CN"/>
        </w:rPr>
        <w:t>科创中心三楼</w:t>
      </w:r>
      <w:r>
        <w:rPr>
          <w:rFonts w:hint="eastAsia" w:ascii="宋体" w:hAnsi="宋体" w:cs="宋体"/>
          <w:color w:val="auto"/>
          <w:sz w:val="24"/>
          <w:szCs w:val="24"/>
          <w:highlight w:val="none"/>
        </w:rPr>
        <w:t>开标室。</w:t>
      </w:r>
    </w:p>
    <w:p w14:paraId="2F322B4A">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5.2谈判供应商递交响应文件应按照谈判文件的要求进行。</w:t>
      </w:r>
    </w:p>
    <w:p w14:paraId="28B0D123">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5.3逾期送达的、未送达指定地点的或者不按照谈判文件要求密封的响应文件，采购人将予以拒收。</w:t>
      </w:r>
    </w:p>
    <w:p w14:paraId="65C0CE64">
      <w:pPr>
        <w:keepNext w:val="0"/>
        <w:keepLines w:val="0"/>
        <w:pageBreakBefore w:val="0"/>
        <w:kinsoku/>
        <w:wordWrap/>
        <w:overflowPunct/>
        <w:topLinePunct w:val="0"/>
        <w:bidi w:val="0"/>
        <w:spacing w:line="336" w:lineRule="auto"/>
        <w:ind w:left="0" w:right="0" w:firstLine="422"/>
        <w:jc w:val="both"/>
        <w:textAlignment w:val="auto"/>
        <w:rPr>
          <w:rFonts w:hint="eastAsia" w:ascii="宋体" w:hAnsi="宋体" w:cs="宋体"/>
          <w:b/>
          <w:bCs/>
          <w:color w:val="auto"/>
          <w:sz w:val="24"/>
          <w:szCs w:val="24"/>
        </w:rPr>
      </w:pPr>
      <w:bookmarkStart w:id="5" w:name="_Toc3041"/>
      <w:bookmarkStart w:id="6" w:name="_Toc392227734"/>
      <w:bookmarkStart w:id="7" w:name="_Toc20031"/>
      <w:r>
        <w:rPr>
          <w:rFonts w:hint="eastAsia" w:ascii="宋体" w:hAnsi="宋体" w:cs="宋体"/>
          <w:b/>
          <w:bCs/>
          <w:color w:val="auto"/>
          <w:sz w:val="24"/>
          <w:szCs w:val="24"/>
        </w:rPr>
        <w:t>5.4本项目采用</w:t>
      </w:r>
      <w:r>
        <w:rPr>
          <w:rFonts w:hint="eastAsia" w:ascii="宋体" w:hAnsi="宋体" w:cs="宋体"/>
          <w:b/>
          <w:bCs/>
          <w:color w:val="FF0000"/>
          <w:sz w:val="24"/>
          <w:szCs w:val="24"/>
        </w:rPr>
        <w:t>电话谈判</w:t>
      </w:r>
      <w:r>
        <w:rPr>
          <w:rFonts w:hint="eastAsia" w:ascii="宋体" w:hAnsi="宋体" w:cs="宋体"/>
          <w:b/>
          <w:bCs/>
          <w:color w:val="auto"/>
          <w:sz w:val="24"/>
          <w:szCs w:val="24"/>
        </w:rPr>
        <w:t>方式，谈判供应商不参加现场开标活动，需在开标时间段保持电话畅通。</w:t>
      </w:r>
    </w:p>
    <w:p w14:paraId="69DAEC48">
      <w:pPr>
        <w:keepNext w:val="0"/>
        <w:keepLines w:val="0"/>
        <w:pageBreakBefore w:val="0"/>
        <w:kinsoku/>
        <w:wordWrap/>
        <w:overflowPunct/>
        <w:topLinePunct w:val="0"/>
        <w:bidi w:val="0"/>
        <w:spacing w:line="336" w:lineRule="auto"/>
        <w:ind w:left="0" w:right="0" w:firstLine="422"/>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5.4.1谈判响应文件通过邮寄快递的方式送达，谈判响应文件必须在谈判响应文件递交截止时间前送达到山东省淄博市高新区中埠镇铁鹰路山东金岭矿业股份有限公司招标办。招标办工作人员签收邮寄包裹的时间即为谈判供应商谈判响应文件的送达时间，逾期送达的谈判响应文件无效，后果由谈判供应商自行承担。接收邮寄快递包裹的时间为工作日上午8:00~12:00，下午13:00~17:00，谈判供应商应对自己的谈判响应文件的快递包封和密封性负责，如送达的快递包裹出现破损导致谈判响应文件密封性包封破损的，后果由谈判供应商自行承担。</w:t>
      </w:r>
    </w:p>
    <w:p w14:paraId="14F918BD">
      <w:pPr>
        <w:keepNext w:val="0"/>
        <w:keepLines w:val="0"/>
        <w:pageBreakBefore w:val="0"/>
        <w:kinsoku/>
        <w:wordWrap/>
        <w:overflowPunct/>
        <w:topLinePunct w:val="0"/>
        <w:bidi w:val="0"/>
        <w:spacing w:line="336" w:lineRule="auto"/>
        <w:ind w:left="0" w:right="0" w:firstLine="422"/>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5.4.2谈判供应商应充分预留谈判响应文件邮寄、送达所需要的时间。为确保疫情防控期间邮寄包裹能及时送达，应选择邮寄运送时间有保障的快递公司寄送谈判响应文件。</w:t>
      </w:r>
    </w:p>
    <w:p w14:paraId="416E5FF5">
      <w:pPr>
        <w:keepNext w:val="0"/>
        <w:keepLines w:val="0"/>
        <w:pageBreakBefore w:val="0"/>
        <w:kinsoku/>
        <w:wordWrap/>
        <w:overflowPunct/>
        <w:topLinePunct w:val="0"/>
        <w:bidi w:val="0"/>
        <w:spacing w:line="336" w:lineRule="auto"/>
        <w:ind w:left="0" w:right="0" w:firstLine="422"/>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5.4.3谈判供应商在按照谈判文件的要求装订、密封好谈判响应文件后，应使用不透明、防水的邮寄袋(或箱)再次包裹已密封好的谈判响应文件，并在邮寄袋(或箱)上注明项目名称、项目编号、谈判供应商名称等信息（方式不限），工作人员将依据此信息将邮寄袋(或箱)提交该项目的开标、谈判环节。如采购人收到的邮寄包裹未按上述要求进行标识，造成无法将谈判响应文件提交至该项目开标、谈判环节的，由此产生的后果由谈判供应商自行承担。</w:t>
      </w:r>
    </w:p>
    <w:p w14:paraId="5B8C5139">
      <w:pPr>
        <w:keepNext w:val="0"/>
        <w:keepLines w:val="0"/>
        <w:pageBreakBefore w:val="0"/>
        <w:kinsoku/>
        <w:wordWrap/>
        <w:overflowPunct/>
        <w:topLinePunct w:val="0"/>
        <w:bidi w:val="0"/>
        <w:spacing w:line="336" w:lineRule="auto"/>
        <w:ind w:left="0" w:right="0" w:firstLine="422"/>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5.4.4谈判响应文件邮寄地址:山东省淄博市高新区中埠镇铁鹰路山东金岭矿业股份有限公司</w:t>
      </w:r>
    </w:p>
    <w:p w14:paraId="2DC82894">
      <w:pPr>
        <w:keepNext w:val="0"/>
        <w:keepLines w:val="0"/>
        <w:pageBreakBefore w:val="0"/>
        <w:kinsoku/>
        <w:wordWrap/>
        <w:overflowPunct/>
        <w:topLinePunct w:val="0"/>
        <w:bidi w:val="0"/>
        <w:spacing w:line="336" w:lineRule="auto"/>
        <w:ind w:left="0" w:right="0" w:firstLine="422"/>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收件人:招标办，联系电话:0533-3088212</w:t>
      </w:r>
    </w:p>
    <w:p w14:paraId="2CABF7FD">
      <w:pPr>
        <w:keepNext w:val="0"/>
        <w:keepLines w:val="0"/>
        <w:pageBreakBefore w:val="0"/>
        <w:kinsoku/>
        <w:wordWrap/>
        <w:overflowPunct/>
        <w:topLinePunct w:val="0"/>
        <w:bidi w:val="0"/>
        <w:spacing w:line="336" w:lineRule="auto"/>
        <w:ind w:left="0" w:right="0" w:firstLine="422"/>
        <w:jc w:val="both"/>
        <w:textAlignment w:val="auto"/>
        <w:rPr>
          <w:rFonts w:ascii="宋体" w:hAnsi="宋体" w:cs="宋体"/>
          <w:b/>
          <w:bCs/>
          <w:color w:val="auto"/>
          <w:sz w:val="24"/>
          <w:szCs w:val="24"/>
        </w:rPr>
      </w:pPr>
      <w:r>
        <w:rPr>
          <w:rFonts w:hint="eastAsia" w:ascii="宋体" w:hAnsi="宋体" w:cs="宋体"/>
          <w:b/>
          <w:bCs/>
          <w:color w:val="auto"/>
          <w:sz w:val="24"/>
          <w:szCs w:val="24"/>
        </w:rPr>
        <w:t>六、发布公告的媒介</w:t>
      </w:r>
      <w:bookmarkEnd w:id="5"/>
      <w:bookmarkEnd w:id="6"/>
      <w:bookmarkEnd w:id="7"/>
    </w:p>
    <w:p w14:paraId="35B01005">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本项目谈判公告在“</w:t>
      </w:r>
      <w:r>
        <w:rPr>
          <w:rFonts w:hint="eastAsia" w:ascii="宋体" w:hAnsi="宋体" w:cs="宋体"/>
          <w:color w:val="auto"/>
          <w:kern w:val="0"/>
          <w:sz w:val="24"/>
          <w:szCs w:val="24"/>
        </w:rPr>
        <w:t>山钢集团阳光购销平台（http://bams.shansteelgroup.com/）</w:t>
      </w:r>
      <w:r>
        <w:rPr>
          <w:rFonts w:hint="eastAsia" w:ascii="宋体" w:hAnsi="宋体" w:cs="宋体"/>
          <w:color w:val="auto"/>
          <w:sz w:val="24"/>
          <w:szCs w:val="24"/>
        </w:rPr>
        <w:t>”发布。谈判公告将明确对谈判供应商的资格要求、发售谈判文件的日期和方式、投标、开标等事宜。</w:t>
      </w:r>
    </w:p>
    <w:p w14:paraId="06B8115B">
      <w:pPr>
        <w:keepNext w:val="0"/>
        <w:keepLines w:val="0"/>
        <w:pageBreakBefore w:val="0"/>
        <w:kinsoku/>
        <w:wordWrap/>
        <w:overflowPunct/>
        <w:topLinePunct w:val="0"/>
        <w:bidi w:val="0"/>
        <w:spacing w:line="336" w:lineRule="auto"/>
        <w:ind w:left="0" w:right="0" w:firstLine="422"/>
        <w:jc w:val="both"/>
        <w:textAlignment w:val="auto"/>
        <w:rPr>
          <w:rFonts w:ascii="宋体" w:hAnsi="宋体" w:cs="宋体"/>
          <w:b/>
          <w:bCs/>
          <w:color w:val="auto"/>
          <w:sz w:val="24"/>
          <w:szCs w:val="24"/>
        </w:rPr>
      </w:pPr>
      <w:bookmarkStart w:id="8" w:name="_Toc12142"/>
      <w:bookmarkStart w:id="9" w:name="_Toc27956"/>
      <w:r>
        <w:rPr>
          <w:rFonts w:hint="eastAsia" w:ascii="宋体" w:hAnsi="宋体" w:cs="宋体"/>
          <w:b/>
          <w:bCs/>
          <w:color w:val="auto"/>
          <w:sz w:val="24"/>
          <w:szCs w:val="24"/>
        </w:rPr>
        <w:t>七、联系方式</w:t>
      </w:r>
      <w:bookmarkEnd w:id="8"/>
      <w:bookmarkEnd w:id="9"/>
    </w:p>
    <w:p w14:paraId="059AF29A">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联系地址：淄博市高新区中埠镇铁鹰路29号。</w:t>
      </w:r>
    </w:p>
    <w:p w14:paraId="3A90B43B">
      <w:pPr>
        <w:pStyle w:val="2"/>
        <w:keepNext w:val="0"/>
        <w:keepLines w:val="0"/>
        <w:pageBreakBefore w:val="0"/>
        <w:kinsoku/>
        <w:wordWrap/>
        <w:overflowPunct/>
        <w:topLinePunct w:val="0"/>
        <w:bidi w:val="0"/>
        <w:spacing w:line="336" w:lineRule="auto"/>
        <w:ind w:left="0" w:right="0" w:firstLine="420"/>
        <w:jc w:val="both"/>
        <w:textAlignment w:val="auto"/>
        <w:rPr>
          <w:rFonts w:hAnsi="宋体" w:cs="宋体"/>
          <w:color w:val="auto"/>
          <w:sz w:val="24"/>
          <w:szCs w:val="24"/>
        </w:rPr>
      </w:pPr>
      <w:r>
        <w:rPr>
          <w:rFonts w:hint="eastAsia" w:hAnsi="宋体" w:cs="宋体"/>
          <w:color w:val="auto"/>
          <w:sz w:val="24"/>
          <w:szCs w:val="24"/>
        </w:rPr>
        <w:t>电子邮箱: jlkyzbb@163.com</w:t>
      </w:r>
    </w:p>
    <w:p w14:paraId="3FE80BA9">
      <w:pPr>
        <w:keepNext w:val="0"/>
        <w:keepLines w:val="0"/>
        <w:pageBreakBefore w:val="0"/>
        <w:kinsoku/>
        <w:wordWrap/>
        <w:overflowPunct/>
        <w:topLinePunct w:val="0"/>
        <w:bidi w:val="0"/>
        <w:spacing w:line="336" w:lineRule="auto"/>
        <w:ind w:left="0" w:right="0" w:firstLine="420"/>
        <w:jc w:val="both"/>
        <w:textAlignment w:val="auto"/>
        <w:rPr>
          <w:rFonts w:ascii="宋体" w:hAnsi="宋体" w:cs="宋体"/>
          <w:color w:val="auto"/>
          <w:sz w:val="24"/>
          <w:szCs w:val="24"/>
        </w:rPr>
      </w:pPr>
      <w:r>
        <w:rPr>
          <w:rFonts w:hint="eastAsia" w:ascii="宋体" w:hAnsi="宋体" w:cs="宋体"/>
          <w:color w:val="auto"/>
          <w:sz w:val="24"/>
          <w:szCs w:val="24"/>
        </w:rPr>
        <w:t>咨询时间： 工作日  上午：8:30-11:45      下午：13:30-16:45</w:t>
      </w:r>
    </w:p>
    <w:tbl>
      <w:tblPr>
        <w:tblStyle w:val="38"/>
        <w:tblpPr w:leftFromText="180" w:rightFromText="180" w:vertAnchor="text" w:horzAnchor="margin" w:tblpXSpec="center" w:tblpY="210"/>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268"/>
        <w:gridCol w:w="2977"/>
      </w:tblGrid>
      <w:tr w14:paraId="0699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vAlign w:val="center"/>
          </w:tcPr>
          <w:p w14:paraId="753A954C">
            <w:pPr>
              <w:spacing w:line="44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2268" w:type="dxa"/>
            <w:vAlign w:val="center"/>
          </w:tcPr>
          <w:p w14:paraId="341EB5A5">
            <w:pPr>
              <w:spacing w:line="440" w:lineRule="exact"/>
              <w:ind w:firstLine="38" w:firstLineChars="16"/>
              <w:jc w:val="center"/>
              <w:rPr>
                <w:rFonts w:ascii="宋体" w:hAnsi="宋体" w:cs="宋体"/>
                <w:color w:val="auto"/>
                <w:sz w:val="24"/>
                <w:szCs w:val="24"/>
              </w:rPr>
            </w:pPr>
            <w:r>
              <w:rPr>
                <w:rFonts w:hint="eastAsia" w:ascii="宋体" w:hAnsi="宋体" w:cs="宋体"/>
                <w:color w:val="auto"/>
                <w:sz w:val="24"/>
                <w:szCs w:val="24"/>
              </w:rPr>
              <w:t>业务</w:t>
            </w:r>
          </w:p>
        </w:tc>
        <w:tc>
          <w:tcPr>
            <w:tcW w:w="2268" w:type="dxa"/>
            <w:vAlign w:val="center"/>
          </w:tcPr>
          <w:p w14:paraId="51827328">
            <w:pPr>
              <w:spacing w:line="440" w:lineRule="exact"/>
              <w:ind w:firstLine="38" w:firstLineChars="16"/>
              <w:jc w:val="center"/>
              <w:rPr>
                <w:rFonts w:ascii="宋体" w:hAnsi="宋体" w:cs="宋体"/>
                <w:color w:val="auto"/>
                <w:sz w:val="24"/>
                <w:szCs w:val="24"/>
              </w:rPr>
            </w:pPr>
            <w:r>
              <w:rPr>
                <w:rFonts w:hint="eastAsia" w:ascii="宋体" w:hAnsi="宋体" w:cs="宋体"/>
                <w:color w:val="auto"/>
                <w:sz w:val="24"/>
                <w:szCs w:val="24"/>
              </w:rPr>
              <w:t>联系人</w:t>
            </w:r>
          </w:p>
        </w:tc>
        <w:tc>
          <w:tcPr>
            <w:tcW w:w="2977" w:type="dxa"/>
            <w:vAlign w:val="center"/>
          </w:tcPr>
          <w:p w14:paraId="17BE7CDB">
            <w:pPr>
              <w:spacing w:line="440" w:lineRule="exact"/>
              <w:ind w:firstLine="38" w:firstLineChars="16"/>
              <w:jc w:val="center"/>
              <w:rPr>
                <w:rFonts w:ascii="宋体" w:hAnsi="宋体" w:cs="宋体"/>
                <w:color w:val="auto"/>
                <w:sz w:val="24"/>
                <w:szCs w:val="24"/>
              </w:rPr>
            </w:pPr>
            <w:r>
              <w:rPr>
                <w:rFonts w:hint="eastAsia" w:ascii="宋体" w:hAnsi="宋体" w:cs="宋体"/>
                <w:color w:val="auto"/>
                <w:sz w:val="24"/>
                <w:szCs w:val="24"/>
              </w:rPr>
              <w:t>联系方式</w:t>
            </w:r>
          </w:p>
        </w:tc>
      </w:tr>
      <w:tr w14:paraId="051A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5BE40A54">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1</w:t>
            </w:r>
          </w:p>
        </w:tc>
        <w:tc>
          <w:tcPr>
            <w:tcW w:w="2268" w:type="dxa"/>
            <w:vAlign w:val="center"/>
          </w:tcPr>
          <w:p w14:paraId="282422F8">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投标咨询</w:t>
            </w:r>
          </w:p>
        </w:tc>
        <w:tc>
          <w:tcPr>
            <w:tcW w:w="2268" w:type="dxa"/>
            <w:vAlign w:val="center"/>
          </w:tcPr>
          <w:p w14:paraId="76487C67">
            <w:pPr>
              <w:spacing w:line="440" w:lineRule="exact"/>
              <w:ind w:left="-2" w:leftChars="-1" w:firstLine="38" w:firstLineChars="16"/>
              <w:jc w:val="center"/>
              <w:rPr>
                <w:rFonts w:ascii="宋体" w:hAnsi="宋体" w:cs="宋体"/>
                <w:color w:val="auto"/>
                <w:sz w:val="24"/>
                <w:szCs w:val="24"/>
              </w:rPr>
            </w:pPr>
            <w:r>
              <w:rPr>
                <w:rFonts w:hint="eastAsia" w:ascii="宋体" w:hAnsi="宋体" w:cs="宋体"/>
                <w:color w:val="auto"/>
                <w:sz w:val="24"/>
                <w:szCs w:val="24"/>
                <w:highlight w:val="none"/>
              </w:rPr>
              <w:t>王先生/宫先生</w:t>
            </w:r>
          </w:p>
        </w:tc>
        <w:tc>
          <w:tcPr>
            <w:tcW w:w="2977" w:type="dxa"/>
            <w:vAlign w:val="center"/>
          </w:tcPr>
          <w:p w14:paraId="2C47ED63">
            <w:pPr>
              <w:spacing w:line="440" w:lineRule="exact"/>
              <w:ind w:left="-2" w:leftChars="-1" w:firstLine="38" w:firstLineChars="16"/>
              <w:jc w:val="center"/>
              <w:rPr>
                <w:rFonts w:ascii="宋体" w:hAnsi="宋体" w:cs="宋体"/>
                <w:color w:val="auto"/>
                <w:sz w:val="24"/>
                <w:szCs w:val="24"/>
              </w:rPr>
            </w:pPr>
            <w:r>
              <w:rPr>
                <w:rFonts w:hint="eastAsia" w:ascii="宋体" w:hAnsi="宋体" w:cs="宋体"/>
                <w:color w:val="auto"/>
                <w:sz w:val="24"/>
                <w:szCs w:val="24"/>
              </w:rPr>
              <w:t>0533-3088212</w:t>
            </w:r>
          </w:p>
        </w:tc>
      </w:tr>
      <w:tr w14:paraId="1E4F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3ADEE476">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2</w:t>
            </w:r>
          </w:p>
        </w:tc>
        <w:tc>
          <w:tcPr>
            <w:tcW w:w="2268" w:type="dxa"/>
            <w:vAlign w:val="center"/>
          </w:tcPr>
          <w:p w14:paraId="21B157E4">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商务咨询</w:t>
            </w:r>
          </w:p>
        </w:tc>
        <w:tc>
          <w:tcPr>
            <w:tcW w:w="2268" w:type="dxa"/>
            <w:vAlign w:val="center"/>
          </w:tcPr>
          <w:p w14:paraId="5928536C">
            <w:pPr>
              <w:ind w:left="-2" w:leftChars="-1"/>
              <w:jc w:val="center"/>
              <w:rPr>
                <w:rFonts w:ascii="宋体" w:hAnsi="宋体" w:cs="宋体"/>
                <w:color w:val="auto"/>
                <w:sz w:val="24"/>
                <w:szCs w:val="24"/>
                <w:highlight w:val="none"/>
              </w:rPr>
            </w:pPr>
            <w:r>
              <w:rPr>
                <w:rFonts w:hint="eastAsia" w:ascii="宋体" w:hAnsi="宋体"/>
                <w:color w:val="auto"/>
                <w:sz w:val="24"/>
                <w:highlight w:val="none"/>
                <w:lang w:val="en-US" w:eastAsia="zh-CN"/>
              </w:rPr>
              <w:t>韩</w:t>
            </w:r>
            <w:r>
              <w:rPr>
                <w:rFonts w:hint="eastAsia" w:ascii="宋体" w:hAnsi="宋体"/>
                <w:color w:val="auto"/>
                <w:sz w:val="24"/>
                <w:highlight w:val="none"/>
              </w:rPr>
              <w:t>先生</w:t>
            </w:r>
          </w:p>
        </w:tc>
        <w:tc>
          <w:tcPr>
            <w:tcW w:w="2977" w:type="dxa"/>
            <w:vAlign w:val="center"/>
          </w:tcPr>
          <w:p w14:paraId="34E3DAA3">
            <w:pPr>
              <w:ind w:left="-2" w:leftChars="-1"/>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0533-3088</w:t>
            </w:r>
            <w:r>
              <w:rPr>
                <w:rFonts w:hint="eastAsia" w:ascii="宋体" w:hAnsi="宋体"/>
                <w:color w:val="auto"/>
                <w:sz w:val="24"/>
                <w:highlight w:val="none"/>
                <w:lang w:val="en-US" w:eastAsia="zh-CN"/>
              </w:rPr>
              <w:t>773</w:t>
            </w:r>
          </w:p>
        </w:tc>
      </w:tr>
      <w:tr w14:paraId="5042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50C86201">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3</w:t>
            </w:r>
          </w:p>
        </w:tc>
        <w:tc>
          <w:tcPr>
            <w:tcW w:w="2268" w:type="dxa"/>
            <w:vAlign w:val="center"/>
          </w:tcPr>
          <w:p w14:paraId="0E7660DA">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技术咨询</w:t>
            </w:r>
          </w:p>
        </w:tc>
        <w:tc>
          <w:tcPr>
            <w:tcW w:w="2268" w:type="dxa"/>
            <w:vAlign w:val="center"/>
          </w:tcPr>
          <w:p w14:paraId="15FDAF50">
            <w:pPr>
              <w:ind w:left="-2" w:leftChars="-1"/>
              <w:jc w:val="center"/>
              <w:rPr>
                <w:rFonts w:ascii="宋体" w:hAnsi="宋体" w:cs="宋体"/>
                <w:color w:val="auto"/>
                <w:sz w:val="24"/>
                <w:szCs w:val="24"/>
                <w:highlight w:val="none"/>
              </w:rPr>
            </w:pPr>
            <w:r>
              <w:rPr>
                <w:rFonts w:hint="eastAsia" w:ascii="宋体" w:hAnsi="宋体"/>
                <w:color w:val="auto"/>
                <w:sz w:val="24"/>
                <w:highlight w:val="none"/>
                <w:lang w:val="en-US" w:eastAsia="zh-CN"/>
              </w:rPr>
              <w:t>刘</w:t>
            </w:r>
            <w:r>
              <w:rPr>
                <w:rFonts w:hint="eastAsia" w:ascii="宋体" w:hAnsi="宋体"/>
                <w:color w:val="auto"/>
                <w:sz w:val="24"/>
                <w:highlight w:val="none"/>
              </w:rPr>
              <w:t>先生</w:t>
            </w:r>
          </w:p>
        </w:tc>
        <w:tc>
          <w:tcPr>
            <w:tcW w:w="2977" w:type="dxa"/>
            <w:vAlign w:val="center"/>
          </w:tcPr>
          <w:p w14:paraId="5EF2679F">
            <w:pPr>
              <w:ind w:left="-2" w:leftChars="-1"/>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0533-308</w:t>
            </w:r>
            <w:r>
              <w:rPr>
                <w:rFonts w:hint="eastAsia" w:ascii="宋体" w:hAnsi="宋体"/>
                <w:color w:val="auto"/>
                <w:sz w:val="24"/>
                <w:highlight w:val="none"/>
                <w:lang w:val="en-US" w:eastAsia="zh-CN"/>
              </w:rPr>
              <w:t>9407</w:t>
            </w:r>
          </w:p>
        </w:tc>
      </w:tr>
      <w:tr w14:paraId="775F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9" w:type="dxa"/>
            <w:vAlign w:val="center"/>
          </w:tcPr>
          <w:p w14:paraId="7D9D95B7">
            <w:pPr>
              <w:spacing w:line="440" w:lineRule="exact"/>
              <w:ind w:left="3" w:leftChars="-12" w:hanging="28" w:hangingChars="12"/>
              <w:jc w:val="center"/>
              <w:rPr>
                <w:rFonts w:ascii="宋体" w:hAnsi="宋体" w:cs="宋体"/>
                <w:color w:val="auto"/>
                <w:sz w:val="24"/>
                <w:szCs w:val="24"/>
              </w:rPr>
            </w:pPr>
            <w:r>
              <w:rPr>
                <w:rFonts w:hint="eastAsia" w:ascii="宋体" w:hAnsi="宋体" w:cs="宋体"/>
                <w:color w:val="auto"/>
                <w:sz w:val="24"/>
                <w:szCs w:val="24"/>
              </w:rPr>
              <w:t>4</w:t>
            </w:r>
          </w:p>
        </w:tc>
        <w:tc>
          <w:tcPr>
            <w:tcW w:w="2268" w:type="dxa"/>
            <w:vAlign w:val="center"/>
          </w:tcPr>
          <w:p w14:paraId="4DB7E71C">
            <w:pPr>
              <w:spacing w:line="440" w:lineRule="exact"/>
              <w:ind w:left="-2" w:leftChars="-1"/>
              <w:jc w:val="center"/>
              <w:rPr>
                <w:rFonts w:ascii="宋体" w:hAnsi="宋体" w:cs="宋体"/>
                <w:color w:val="auto"/>
                <w:sz w:val="24"/>
                <w:szCs w:val="24"/>
              </w:rPr>
            </w:pPr>
            <w:r>
              <w:rPr>
                <w:rFonts w:hint="eastAsia" w:ascii="宋体" w:hAnsi="宋体" w:cs="宋体"/>
                <w:color w:val="auto"/>
                <w:sz w:val="24"/>
                <w:szCs w:val="24"/>
              </w:rPr>
              <w:t>监督</w:t>
            </w:r>
          </w:p>
        </w:tc>
        <w:tc>
          <w:tcPr>
            <w:tcW w:w="2268" w:type="dxa"/>
            <w:vAlign w:val="center"/>
          </w:tcPr>
          <w:p w14:paraId="15D84912">
            <w:pPr>
              <w:ind w:left="-2" w:leftChars="-1" w:firstLine="38" w:firstLineChars="16"/>
              <w:jc w:val="center"/>
              <w:rPr>
                <w:rFonts w:ascii="宋体" w:hAnsi="宋体" w:cs="宋体"/>
                <w:color w:val="auto"/>
                <w:sz w:val="24"/>
                <w:szCs w:val="24"/>
              </w:rPr>
            </w:pPr>
          </w:p>
        </w:tc>
        <w:tc>
          <w:tcPr>
            <w:tcW w:w="2977" w:type="dxa"/>
            <w:vAlign w:val="center"/>
          </w:tcPr>
          <w:p w14:paraId="00641DB2">
            <w:pPr>
              <w:ind w:left="-2" w:leftChars="-1" w:firstLine="38" w:firstLineChars="16"/>
              <w:jc w:val="center"/>
              <w:rPr>
                <w:rFonts w:ascii="宋体" w:hAnsi="宋体" w:cs="宋体"/>
                <w:color w:val="auto"/>
                <w:sz w:val="24"/>
                <w:szCs w:val="24"/>
              </w:rPr>
            </w:pPr>
            <w:r>
              <w:rPr>
                <w:rFonts w:hint="eastAsia" w:ascii="宋体" w:hAnsi="宋体"/>
                <w:color w:val="auto"/>
                <w:sz w:val="24"/>
              </w:rPr>
              <w:t>0533-3089311</w:t>
            </w:r>
          </w:p>
        </w:tc>
      </w:tr>
      <w:bookmarkEnd w:id="4"/>
    </w:tbl>
    <w:p w14:paraId="38F91956">
      <w:pPr>
        <w:autoSpaceDE w:val="0"/>
        <w:autoSpaceDN w:val="0"/>
        <w:adjustRightInd w:val="0"/>
        <w:spacing w:line="520" w:lineRule="exact"/>
        <w:jc w:val="center"/>
        <w:rPr>
          <w:rFonts w:ascii="宋体" w:hAnsi="宋体" w:cs="宋体"/>
          <w:b/>
          <w:color w:val="auto"/>
          <w:sz w:val="32"/>
          <w:szCs w:val="32"/>
        </w:rPr>
      </w:pPr>
      <w:bookmarkStart w:id="10" w:name="_GoBack"/>
      <w:bookmarkEnd w:id="10"/>
    </w:p>
    <w:p w14:paraId="55CBD6EE">
      <w:pPr>
        <w:autoSpaceDE w:val="0"/>
        <w:autoSpaceDN w:val="0"/>
        <w:adjustRightInd w:val="0"/>
        <w:spacing w:line="520" w:lineRule="exact"/>
        <w:jc w:val="center"/>
        <w:rPr>
          <w:rFonts w:ascii="宋体" w:hAnsi="宋体" w:cs="宋体"/>
          <w:b/>
          <w:color w:val="auto"/>
          <w:sz w:val="32"/>
          <w:szCs w:val="32"/>
        </w:rPr>
      </w:pPr>
    </w:p>
    <w:p w14:paraId="180C40CB">
      <w:pPr>
        <w:autoSpaceDE w:val="0"/>
        <w:autoSpaceDN w:val="0"/>
        <w:adjustRightInd w:val="0"/>
        <w:spacing w:line="520" w:lineRule="exact"/>
        <w:jc w:val="center"/>
        <w:rPr>
          <w:rFonts w:ascii="宋体" w:hAnsi="宋体" w:cs="宋体"/>
          <w:b/>
          <w:color w:val="auto"/>
          <w:sz w:val="32"/>
          <w:szCs w:val="32"/>
        </w:rPr>
      </w:pPr>
    </w:p>
    <w:p w14:paraId="0B62ADFD">
      <w:pPr>
        <w:autoSpaceDE w:val="0"/>
        <w:autoSpaceDN w:val="0"/>
        <w:adjustRightInd w:val="0"/>
        <w:spacing w:line="520" w:lineRule="exact"/>
        <w:jc w:val="center"/>
        <w:rPr>
          <w:rFonts w:ascii="宋体" w:hAnsi="宋体" w:cs="宋体"/>
          <w:b/>
          <w:color w:val="auto"/>
          <w:sz w:val="32"/>
          <w:szCs w:val="32"/>
        </w:rPr>
      </w:pPr>
    </w:p>
    <w:p w14:paraId="6E195FB0">
      <w:pPr>
        <w:autoSpaceDE w:val="0"/>
        <w:autoSpaceDN w:val="0"/>
        <w:adjustRightInd w:val="0"/>
        <w:spacing w:line="520" w:lineRule="exact"/>
        <w:jc w:val="center"/>
        <w:rPr>
          <w:rFonts w:ascii="宋体" w:hAnsi="宋体" w:cs="宋体"/>
          <w:b/>
          <w:color w:val="auto"/>
          <w:sz w:val="32"/>
          <w:szCs w:val="32"/>
        </w:rPr>
      </w:pPr>
    </w:p>
    <w:p w14:paraId="249E5F8E">
      <w:pPr>
        <w:autoSpaceDE w:val="0"/>
        <w:autoSpaceDN w:val="0"/>
        <w:adjustRightInd w:val="0"/>
        <w:spacing w:line="520" w:lineRule="exact"/>
        <w:jc w:val="center"/>
        <w:rPr>
          <w:rFonts w:ascii="宋体" w:hAnsi="宋体" w:cs="宋体"/>
          <w:b/>
          <w:color w:val="auto"/>
          <w:sz w:val="32"/>
          <w:szCs w:val="32"/>
        </w:rPr>
      </w:pPr>
    </w:p>
    <w:p w14:paraId="17492505">
      <w:pPr>
        <w:autoSpaceDE w:val="0"/>
        <w:autoSpaceDN w:val="0"/>
        <w:adjustRightInd w:val="0"/>
        <w:spacing w:line="520" w:lineRule="exact"/>
        <w:jc w:val="center"/>
        <w:rPr>
          <w:rFonts w:ascii="宋体" w:hAnsi="宋体" w:cs="宋体"/>
          <w:b/>
          <w:color w:val="auto"/>
          <w:sz w:val="32"/>
          <w:szCs w:val="32"/>
        </w:rPr>
      </w:pPr>
    </w:p>
    <w:p w14:paraId="1B993468">
      <w:pPr>
        <w:autoSpaceDE w:val="0"/>
        <w:autoSpaceDN w:val="0"/>
        <w:adjustRightInd w:val="0"/>
        <w:spacing w:line="520" w:lineRule="exact"/>
        <w:jc w:val="center"/>
        <w:outlineLvl w:val="1"/>
        <w:rPr>
          <w:rFonts w:ascii="宋体" w:hAnsi="宋体"/>
          <w:sz w:val="24"/>
        </w:rPr>
      </w:pPr>
    </w:p>
    <w:sectPr>
      <w:headerReference r:id="rId5" w:type="default"/>
      <w:footerReference r:id="rId6" w:type="default"/>
      <w:pgSz w:w="11907" w:h="16840"/>
      <w:pgMar w:top="1247" w:right="1418" w:bottom="1247" w:left="1418" w:header="907" w:footer="907" w:gutter="0"/>
      <w:pgNumType w:fmt="decimal" w:chapStyle="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05384E-4CD7-4448-BE7E-087038C79C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9D89483-7FA2-41A9-BD6A-3D64135B15E1}"/>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6344">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94769">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2D994769">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3176">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D1E2B">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5BDD1E2B">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D29941">
                          <w:pPr>
                            <w:pStyle w:val="24"/>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70D29941">
                    <w:pPr>
                      <w:pStyle w:val="2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A071">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740B09">
                          <w:pPr>
                            <w:pStyle w:val="24"/>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47740B09">
                    <w:pPr>
                      <w:pStyle w:val="24"/>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CA8F">
    <w:pPr>
      <w:pStyle w:val="2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ZWMxN2I3MzY3OTU5YTg3MjcyODgxZWEwMTI5OGYifQ=="/>
    <w:docVar w:name="KSO_WPS_MARK_KEY" w:val="14544848-fa1d-4374-8568-1f3949c40570"/>
  </w:docVars>
  <w:rsids>
    <w:rsidRoot w:val="00F90665"/>
    <w:rsid w:val="00003D53"/>
    <w:rsid w:val="00004D37"/>
    <w:rsid w:val="00005258"/>
    <w:rsid w:val="00021883"/>
    <w:rsid w:val="00025C0D"/>
    <w:rsid w:val="00030269"/>
    <w:rsid w:val="000319DC"/>
    <w:rsid w:val="000357A0"/>
    <w:rsid w:val="000362CF"/>
    <w:rsid w:val="00037924"/>
    <w:rsid w:val="0004342A"/>
    <w:rsid w:val="0004530E"/>
    <w:rsid w:val="00046E9E"/>
    <w:rsid w:val="00047147"/>
    <w:rsid w:val="00051516"/>
    <w:rsid w:val="00054291"/>
    <w:rsid w:val="000604D9"/>
    <w:rsid w:val="000606BC"/>
    <w:rsid w:val="00060D42"/>
    <w:rsid w:val="00063E7D"/>
    <w:rsid w:val="0006574C"/>
    <w:rsid w:val="00065E62"/>
    <w:rsid w:val="000665C9"/>
    <w:rsid w:val="00083F83"/>
    <w:rsid w:val="00084D06"/>
    <w:rsid w:val="00085042"/>
    <w:rsid w:val="00095845"/>
    <w:rsid w:val="000A20D1"/>
    <w:rsid w:val="000A42D7"/>
    <w:rsid w:val="000B36DA"/>
    <w:rsid w:val="000B4187"/>
    <w:rsid w:val="000B4838"/>
    <w:rsid w:val="000B4940"/>
    <w:rsid w:val="000B6410"/>
    <w:rsid w:val="000B6482"/>
    <w:rsid w:val="000C0686"/>
    <w:rsid w:val="000C3CCF"/>
    <w:rsid w:val="000C5C58"/>
    <w:rsid w:val="000C7346"/>
    <w:rsid w:val="000D2248"/>
    <w:rsid w:val="000D6406"/>
    <w:rsid w:val="000F0448"/>
    <w:rsid w:val="000F5322"/>
    <w:rsid w:val="000F58A0"/>
    <w:rsid w:val="001033F9"/>
    <w:rsid w:val="00104D9C"/>
    <w:rsid w:val="00106B74"/>
    <w:rsid w:val="00107227"/>
    <w:rsid w:val="001108D5"/>
    <w:rsid w:val="00113834"/>
    <w:rsid w:val="001142FE"/>
    <w:rsid w:val="00114C3D"/>
    <w:rsid w:val="00117D46"/>
    <w:rsid w:val="00125F2B"/>
    <w:rsid w:val="00133571"/>
    <w:rsid w:val="00133C0C"/>
    <w:rsid w:val="001349C3"/>
    <w:rsid w:val="001416CA"/>
    <w:rsid w:val="0014376A"/>
    <w:rsid w:val="001460CA"/>
    <w:rsid w:val="001508E1"/>
    <w:rsid w:val="001549FF"/>
    <w:rsid w:val="00166D39"/>
    <w:rsid w:val="001837A4"/>
    <w:rsid w:val="00186ACA"/>
    <w:rsid w:val="001873FA"/>
    <w:rsid w:val="001906CA"/>
    <w:rsid w:val="001A2CC7"/>
    <w:rsid w:val="001A3008"/>
    <w:rsid w:val="001A47F9"/>
    <w:rsid w:val="001A5665"/>
    <w:rsid w:val="001A5C05"/>
    <w:rsid w:val="001A7F92"/>
    <w:rsid w:val="001B0A4A"/>
    <w:rsid w:val="001B14FA"/>
    <w:rsid w:val="001B17C0"/>
    <w:rsid w:val="001B55D9"/>
    <w:rsid w:val="001B6C8C"/>
    <w:rsid w:val="001B7B83"/>
    <w:rsid w:val="001C0ADA"/>
    <w:rsid w:val="001C56FD"/>
    <w:rsid w:val="001D2A57"/>
    <w:rsid w:val="001D649A"/>
    <w:rsid w:val="001D6A5D"/>
    <w:rsid w:val="001E693E"/>
    <w:rsid w:val="001F4AEF"/>
    <w:rsid w:val="00201317"/>
    <w:rsid w:val="00205DE7"/>
    <w:rsid w:val="0020638B"/>
    <w:rsid w:val="00211B31"/>
    <w:rsid w:val="00211CE0"/>
    <w:rsid w:val="002249B8"/>
    <w:rsid w:val="00224EAC"/>
    <w:rsid w:val="00232776"/>
    <w:rsid w:val="00233415"/>
    <w:rsid w:val="00237171"/>
    <w:rsid w:val="002407FA"/>
    <w:rsid w:val="002513E9"/>
    <w:rsid w:val="00264D84"/>
    <w:rsid w:val="00265496"/>
    <w:rsid w:val="002741B3"/>
    <w:rsid w:val="002817EE"/>
    <w:rsid w:val="00281D2F"/>
    <w:rsid w:val="00283B47"/>
    <w:rsid w:val="00283DB9"/>
    <w:rsid w:val="00287A6C"/>
    <w:rsid w:val="00287EC0"/>
    <w:rsid w:val="002905D1"/>
    <w:rsid w:val="00294963"/>
    <w:rsid w:val="002979DA"/>
    <w:rsid w:val="002A1CC2"/>
    <w:rsid w:val="002A4B4F"/>
    <w:rsid w:val="002A58A2"/>
    <w:rsid w:val="002B25BA"/>
    <w:rsid w:val="002B30CD"/>
    <w:rsid w:val="002B328E"/>
    <w:rsid w:val="002C3208"/>
    <w:rsid w:val="002C55F2"/>
    <w:rsid w:val="002D31AC"/>
    <w:rsid w:val="002D45F9"/>
    <w:rsid w:val="002D4D5E"/>
    <w:rsid w:val="002E0269"/>
    <w:rsid w:val="002E75D3"/>
    <w:rsid w:val="002F1528"/>
    <w:rsid w:val="002F3EB7"/>
    <w:rsid w:val="002F4836"/>
    <w:rsid w:val="00300F4A"/>
    <w:rsid w:val="00307F49"/>
    <w:rsid w:val="0031533E"/>
    <w:rsid w:val="0031539D"/>
    <w:rsid w:val="00322926"/>
    <w:rsid w:val="003245C2"/>
    <w:rsid w:val="00325B9B"/>
    <w:rsid w:val="00326D50"/>
    <w:rsid w:val="00333D9B"/>
    <w:rsid w:val="00334792"/>
    <w:rsid w:val="00346C06"/>
    <w:rsid w:val="003478F8"/>
    <w:rsid w:val="00350591"/>
    <w:rsid w:val="003601C0"/>
    <w:rsid w:val="0036032B"/>
    <w:rsid w:val="00363DF6"/>
    <w:rsid w:val="00370565"/>
    <w:rsid w:val="003801D3"/>
    <w:rsid w:val="0038182C"/>
    <w:rsid w:val="00382105"/>
    <w:rsid w:val="003849BC"/>
    <w:rsid w:val="00390A32"/>
    <w:rsid w:val="003943A8"/>
    <w:rsid w:val="0039613C"/>
    <w:rsid w:val="00396CED"/>
    <w:rsid w:val="003A0786"/>
    <w:rsid w:val="003A100D"/>
    <w:rsid w:val="003B0BDE"/>
    <w:rsid w:val="003B17D4"/>
    <w:rsid w:val="003B72A8"/>
    <w:rsid w:val="003C6CB5"/>
    <w:rsid w:val="003E0F65"/>
    <w:rsid w:val="003E154B"/>
    <w:rsid w:val="003E7FD7"/>
    <w:rsid w:val="003F2186"/>
    <w:rsid w:val="003F2906"/>
    <w:rsid w:val="003F4314"/>
    <w:rsid w:val="003F7A84"/>
    <w:rsid w:val="00401E63"/>
    <w:rsid w:val="004105F1"/>
    <w:rsid w:val="00413F8E"/>
    <w:rsid w:val="004232E4"/>
    <w:rsid w:val="00425B49"/>
    <w:rsid w:val="004333F8"/>
    <w:rsid w:val="0043387A"/>
    <w:rsid w:val="00437E7B"/>
    <w:rsid w:val="00443807"/>
    <w:rsid w:val="00452877"/>
    <w:rsid w:val="00455C34"/>
    <w:rsid w:val="00456C29"/>
    <w:rsid w:val="0047017D"/>
    <w:rsid w:val="0047451A"/>
    <w:rsid w:val="00476E54"/>
    <w:rsid w:val="00483613"/>
    <w:rsid w:val="00484119"/>
    <w:rsid w:val="00485145"/>
    <w:rsid w:val="00485194"/>
    <w:rsid w:val="00490EF5"/>
    <w:rsid w:val="00494320"/>
    <w:rsid w:val="00496301"/>
    <w:rsid w:val="004A6A5F"/>
    <w:rsid w:val="004B55CE"/>
    <w:rsid w:val="004C4ADC"/>
    <w:rsid w:val="004C5E4B"/>
    <w:rsid w:val="004D0E24"/>
    <w:rsid w:val="004D217A"/>
    <w:rsid w:val="004D5193"/>
    <w:rsid w:val="004D521A"/>
    <w:rsid w:val="004D5B64"/>
    <w:rsid w:val="004D64E1"/>
    <w:rsid w:val="004D6520"/>
    <w:rsid w:val="004E3732"/>
    <w:rsid w:val="004E39BE"/>
    <w:rsid w:val="004E3AD4"/>
    <w:rsid w:val="004F0FB8"/>
    <w:rsid w:val="004F1047"/>
    <w:rsid w:val="004F2E72"/>
    <w:rsid w:val="004F4261"/>
    <w:rsid w:val="004F7F35"/>
    <w:rsid w:val="0050163D"/>
    <w:rsid w:val="00503A2B"/>
    <w:rsid w:val="0052489E"/>
    <w:rsid w:val="00534C5E"/>
    <w:rsid w:val="005350C5"/>
    <w:rsid w:val="005351B6"/>
    <w:rsid w:val="0054678A"/>
    <w:rsid w:val="00550EA6"/>
    <w:rsid w:val="0055339E"/>
    <w:rsid w:val="005541D2"/>
    <w:rsid w:val="0055440F"/>
    <w:rsid w:val="00562D8D"/>
    <w:rsid w:val="0056353D"/>
    <w:rsid w:val="00567D2B"/>
    <w:rsid w:val="0057000F"/>
    <w:rsid w:val="00571568"/>
    <w:rsid w:val="00571F5B"/>
    <w:rsid w:val="00574FFA"/>
    <w:rsid w:val="00576F79"/>
    <w:rsid w:val="00580BB6"/>
    <w:rsid w:val="00581B5B"/>
    <w:rsid w:val="0058222A"/>
    <w:rsid w:val="005823DC"/>
    <w:rsid w:val="00584EC9"/>
    <w:rsid w:val="005872A9"/>
    <w:rsid w:val="00587F04"/>
    <w:rsid w:val="0059057F"/>
    <w:rsid w:val="0059173A"/>
    <w:rsid w:val="00591A4D"/>
    <w:rsid w:val="00595806"/>
    <w:rsid w:val="005A3D82"/>
    <w:rsid w:val="005A5D18"/>
    <w:rsid w:val="005A6FC6"/>
    <w:rsid w:val="005A7F68"/>
    <w:rsid w:val="005B167D"/>
    <w:rsid w:val="005B6E03"/>
    <w:rsid w:val="005B6FCC"/>
    <w:rsid w:val="005B7B29"/>
    <w:rsid w:val="005B7E7F"/>
    <w:rsid w:val="005C015A"/>
    <w:rsid w:val="005D07D8"/>
    <w:rsid w:val="005D1218"/>
    <w:rsid w:val="005D3986"/>
    <w:rsid w:val="005D5A9F"/>
    <w:rsid w:val="005E0329"/>
    <w:rsid w:val="005E04EA"/>
    <w:rsid w:val="005E4D57"/>
    <w:rsid w:val="005F14BA"/>
    <w:rsid w:val="005F6989"/>
    <w:rsid w:val="00604C07"/>
    <w:rsid w:val="00605E7E"/>
    <w:rsid w:val="00620528"/>
    <w:rsid w:val="006224C4"/>
    <w:rsid w:val="00630DBF"/>
    <w:rsid w:val="006402F9"/>
    <w:rsid w:val="006460CC"/>
    <w:rsid w:val="00646C31"/>
    <w:rsid w:val="006520E8"/>
    <w:rsid w:val="00653404"/>
    <w:rsid w:val="006561F1"/>
    <w:rsid w:val="00657522"/>
    <w:rsid w:val="00672858"/>
    <w:rsid w:val="006752DF"/>
    <w:rsid w:val="006775A2"/>
    <w:rsid w:val="00680773"/>
    <w:rsid w:val="00682A36"/>
    <w:rsid w:val="00683094"/>
    <w:rsid w:val="00683913"/>
    <w:rsid w:val="00694FD1"/>
    <w:rsid w:val="00696D73"/>
    <w:rsid w:val="006A1C81"/>
    <w:rsid w:val="006A62B5"/>
    <w:rsid w:val="006A7D76"/>
    <w:rsid w:val="006C2A23"/>
    <w:rsid w:val="006D1E2F"/>
    <w:rsid w:val="006E6813"/>
    <w:rsid w:val="006F4173"/>
    <w:rsid w:val="006F41AD"/>
    <w:rsid w:val="006F503E"/>
    <w:rsid w:val="006F69FA"/>
    <w:rsid w:val="007035A0"/>
    <w:rsid w:val="007049F8"/>
    <w:rsid w:val="00710D90"/>
    <w:rsid w:val="00712CC4"/>
    <w:rsid w:val="00712E4D"/>
    <w:rsid w:val="0072238E"/>
    <w:rsid w:val="00723A2E"/>
    <w:rsid w:val="00723DE2"/>
    <w:rsid w:val="007256DA"/>
    <w:rsid w:val="00725B02"/>
    <w:rsid w:val="00726DF7"/>
    <w:rsid w:val="0073503D"/>
    <w:rsid w:val="007359D1"/>
    <w:rsid w:val="00735D2C"/>
    <w:rsid w:val="0073624D"/>
    <w:rsid w:val="00736D5D"/>
    <w:rsid w:val="0074532B"/>
    <w:rsid w:val="007573BE"/>
    <w:rsid w:val="00757D41"/>
    <w:rsid w:val="007615FA"/>
    <w:rsid w:val="00762909"/>
    <w:rsid w:val="00774572"/>
    <w:rsid w:val="007777EB"/>
    <w:rsid w:val="00780404"/>
    <w:rsid w:val="0078545B"/>
    <w:rsid w:val="00786A25"/>
    <w:rsid w:val="00793156"/>
    <w:rsid w:val="00793A8E"/>
    <w:rsid w:val="0079572D"/>
    <w:rsid w:val="0079660A"/>
    <w:rsid w:val="007A1349"/>
    <w:rsid w:val="007A2019"/>
    <w:rsid w:val="007A2442"/>
    <w:rsid w:val="007A3F8A"/>
    <w:rsid w:val="007A55C4"/>
    <w:rsid w:val="007A7D01"/>
    <w:rsid w:val="007B23A6"/>
    <w:rsid w:val="007B33E0"/>
    <w:rsid w:val="007B3A7A"/>
    <w:rsid w:val="007B4A4A"/>
    <w:rsid w:val="007C047F"/>
    <w:rsid w:val="007C6BD4"/>
    <w:rsid w:val="007D50F2"/>
    <w:rsid w:val="007D541C"/>
    <w:rsid w:val="007E3498"/>
    <w:rsid w:val="007E4B93"/>
    <w:rsid w:val="007E51F0"/>
    <w:rsid w:val="007F2C7E"/>
    <w:rsid w:val="007F7310"/>
    <w:rsid w:val="00805A42"/>
    <w:rsid w:val="008104DE"/>
    <w:rsid w:val="00811AC5"/>
    <w:rsid w:val="00813C2B"/>
    <w:rsid w:val="00814421"/>
    <w:rsid w:val="00814BB8"/>
    <w:rsid w:val="00814CE6"/>
    <w:rsid w:val="00820A28"/>
    <w:rsid w:val="008226FC"/>
    <w:rsid w:val="00822B78"/>
    <w:rsid w:val="008279F5"/>
    <w:rsid w:val="00830403"/>
    <w:rsid w:val="008351B8"/>
    <w:rsid w:val="00843CAE"/>
    <w:rsid w:val="00844C31"/>
    <w:rsid w:val="00850772"/>
    <w:rsid w:val="00854B46"/>
    <w:rsid w:val="00861CB3"/>
    <w:rsid w:val="00882791"/>
    <w:rsid w:val="00882F68"/>
    <w:rsid w:val="0088630B"/>
    <w:rsid w:val="0089306A"/>
    <w:rsid w:val="00894C78"/>
    <w:rsid w:val="008A060F"/>
    <w:rsid w:val="008A48AB"/>
    <w:rsid w:val="008A4C57"/>
    <w:rsid w:val="008B4605"/>
    <w:rsid w:val="008B61BA"/>
    <w:rsid w:val="008C21E8"/>
    <w:rsid w:val="008C6AC4"/>
    <w:rsid w:val="008D04AF"/>
    <w:rsid w:val="008D2FEC"/>
    <w:rsid w:val="008D3607"/>
    <w:rsid w:val="008D3C62"/>
    <w:rsid w:val="008D51F6"/>
    <w:rsid w:val="008D5910"/>
    <w:rsid w:val="008D6ED3"/>
    <w:rsid w:val="008E0C3A"/>
    <w:rsid w:val="008E69F6"/>
    <w:rsid w:val="008E7642"/>
    <w:rsid w:val="008F2C7C"/>
    <w:rsid w:val="0090037B"/>
    <w:rsid w:val="00901083"/>
    <w:rsid w:val="009024FD"/>
    <w:rsid w:val="00903702"/>
    <w:rsid w:val="00903BA5"/>
    <w:rsid w:val="009067E9"/>
    <w:rsid w:val="009134D3"/>
    <w:rsid w:val="0091541B"/>
    <w:rsid w:val="00922548"/>
    <w:rsid w:val="00924556"/>
    <w:rsid w:val="009262E8"/>
    <w:rsid w:val="009273B0"/>
    <w:rsid w:val="009349F3"/>
    <w:rsid w:val="00937AFF"/>
    <w:rsid w:val="0094564C"/>
    <w:rsid w:val="00947E23"/>
    <w:rsid w:val="00951C9A"/>
    <w:rsid w:val="00954E89"/>
    <w:rsid w:val="00961BA4"/>
    <w:rsid w:val="009647ED"/>
    <w:rsid w:val="0096647B"/>
    <w:rsid w:val="00970C4C"/>
    <w:rsid w:val="00974C38"/>
    <w:rsid w:val="00980919"/>
    <w:rsid w:val="00980EBB"/>
    <w:rsid w:val="0099084B"/>
    <w:rsid w:val="00992C47"/>
    <w:rsid w:val="009A0532"/>
    <w:rsid w:val="009A39FA"/>
    <w:rsid w:val="009B00A6"/>
    <w:rsid w:val="009B45F2"/>
    <w:rsid w:val="009B6F1F"/>
    <w:rsid w:val="009C2B28"/>
    <w:rsid w:val="009C39B3"/>
    <w:rsid w:val="009C595B"/>
    <w:rsid w:val="009D26E4"/>
    <w:rsid w:val="009D4A46"/>
    <w:rsid w:val="009D7AEE"/>
    <w:rsid w:val="009E13D9"/>
    <w:rsid w:val="009E19FC"/>
    <w:rsid w:val="009E377F"/>
    <w:rsid w:val="009E5FCD"/>
    <w:rsid w:val="009F25F4"/>
    <w:rsid w:val="009F4ECB"/>
    <w:rsid w:val="009F511B"/>
    <w:rsid w:val="009F6834"/>
    <w:rsid w:val="00A00CBE"/>
    <w:rsid w:val="00A01EE5"/>
    <w:rsid w:val="00A026D9"/>
    <w:rsid w:val="00A03A1A"/>
    <w:rsid w:val="00A22BB3"/>
    <w:rsid w:val="00A22C18"/>
    <w:rsid w:val="00A23271"/>
    <w:rsid w:val="00A25D38"/>
    <w:rsid w:val="00A30EBD"/>
    <w:rsid w:val="00A35B78"/>
    <w:rsid w:val="00A37E05"/>
    <w:rsid w:val="00A41F8F"/>
    <w:rsid w:val="00A46129"/>
    <w:rsid w:val="00A46223"/>
    <w:rsid w:val="00A50B1A"/>
    <w:rsid w:val="00A515AA"/>
    <w:rsid w:val="00A62EEF"/>
    <w:rsid w:val="00A6366F"/>
    <w:rsid w:val="00A67E54"/>
    <w:rsid w:val="00A74DBB"/>
    <w:rsid w:val="00A760DE"/>
    <w:rsid w:val="00A80959"/>
    <w:rsid w:val="00A832A6"/>
    <w:rsid w:val="00A91F3B"/>
    <w:rsid w:val="00A940A3"/>
    <w:rsid w:val="00A94F2D"/>
    <w:rsid w:val="00AA5394"/>
    <w:rsid w:val="00AA78F2"/>
    <w:rsid w:val="00AB52B6"/>
    <w:rsid w:val="00AB581D"/>
    <w:rsid w:val="00AB6330"/>
    <w:rsid w:val="00AC007E"/>
    <w:rsid w:val="00AD2A9D"/>
    <w:rsid w:val="00AD2EB3"/>
    <w:rsid w:val="00AD55A8"/>
    <w:rsid w:val="00AD6EDA"/>
    <w:rsid w:val="00AE0238"/>
    <w:rsid w:val="00AE0C23"/>
    <w:rsid w:val="00AE17DC"/>
    <w:rsid w:val="00AF1369"/>
    <w:rsid w:val="00B015AD"/>
    <w:rsid w:val="00B01B0F"/>
    <w:rsid w:val="00B02ABE"/>
    <w:rsid w:val="00B16246"/>
    <w:rsid w:val="00B21DDE"/>
    <w:rsid w:val="00B3035E"/>
    <w:rsid w:val="00B340E0"/>
    <w:rsid w:val="00B467E3"/>
    <w:rsid w:val="00B56975"/>
    <w:rsid w:val="00B710C5"/>
    <w:rsid w:val="00B73DE8"/>
    <w:rsid w:val="00B75A72"/>
    <w:rsid w:val="00B80688"/>
    <w:rsid w:val="00B82922"/>
    <w:rsid w:val="00B84431"/>
    <w:rsid w:val="00B914B6"/>
    <w:rsid w:val="00B92A82"/>
    <w:rsid w:val="00B92AD3"/>
    <w:rsid w:val="00B93FE2"/>
    <w:rsid w:val="00B94A45"/>
    <w:rsid w:val="00BA354E"/>
    <w:rsid w:val="00BA42CC"/>
    <w:rsid w:val="00BA463B"/>
    <w:rsid w:val="00BA7454"/>
    <w:rsid w:val="00BB13E2"/>
    <w:rsid w:val="00BB6209"/>
    <w:rsid w:val="00BC14BE"/>
    <w:rsid w:val="00BC1A51"/>
    <w:rsid w:val="00BD2B8B"/>
    <w:rsid w:val="00BD61FD"/>
    <w:rsid w:val="00BD6BB1"/>
    <w:rsid w:val="00BE27BF"/>
    <w:rsid w:val="00BE713D"/>
    <w:rsid w:val="00BF16C1"/>
    <w:rsid w:val="00BF2616"/>
    <w:rsid w:val="00BF40C4"/>
    <w:rsid w:val="00BF6DA1"/>
    <w:rsid w:val="00C00C1E"/>
    <w:rsid w:val="00C00EB1"/>
    <w:rsid w:val="00C02620"/>
    <w:rsid w:val="00C02F46"/>
    <w:rsid w:val="00C06055"/>
    <w:rsid w:val="00C06978"/>
    <w:rsid w:val="00C21B0C"/>
    <w:rsid w:val="00C2628A"/>
    <w:rsid w:val="00C30650"/>
    <w:rsid w:val="00C32642"/>
    <w:rsid w:val="00C327E8"/>
    <w:rsid w:val="00C37A86"/>
    <w:rsid w:val="00C43684"/>
    <w:rsid w:val="00C44E69"/>
    <w:rsid w:val="00C45F06"/>
    <w:rsid w:val="00C508D5"/>
    <w:rsid w:val="00C57ED8"/>
    <w:rsid w:val="00C62312"/>
    <w:rsid w:val="00C64A9A"/>
    <w:rsid w:val="00C75B7B"/>
    <w:rsid w:val="00C76E4C"/>
    <w:rsid w:val="00C76E6B"/>
    <w:rsid w:val="00C877D8"/>
    <w:rsid w:val="00C9046F"/>
    <w:rsid w:val="00C946F5"/>
    <w:rsid w:val="00CA73FE"/>
    <w:rsid w:val="00CB6532"/>
    <w:rsid w:val="00CB6A17"/>
    <w:rsid w:val="00CC07D5"/>
    <w:rsid w:val="00CC1834"/>
    <w:rsid w:val="00CC5E39"/>
    <w:rsid w:val="00CC766A"/>
    <w:rsid w:val="00CD0108"/>
    <w:rsid w:val="00CD3349"/>
    <w:rsid w:val="00CE2A92"/>
    <w:rsid w:val="00CE4090"/>
    <w:rsid w:val="00CE41A7"/>
    <w:rsid w:val="00CE4C39"/>
    <w:rsid w:val="00CE6D57"/>
    <w:rsid w:val="00CF2A46"/>
    <w:rsid w:val="00CF3A9A"/>
    <w:rsid w:val="00CF4E94"/>
    <w:rsid w:val="00D04178"/>
    <w:rsid w:val="00D04AD9"/>
    <w:rsid w:val="00D16BFC"/>
    <w:rsid w:val="00D23C9D"/>
    <w:rsid w:val="00D24E3A"/>
    <w:rsid w:val="00D32CAA"/>
    <w:rsid w:val="00D36B26"/>
    <w:rsid w:val="00D44D0F"/>
    <w:rsid w:val="00D50B8F"/>
    <w:rsid w:val="00D556E1"/>
    <w:rsid w:val="00D61415"/>
    <w:rsid w:val="00D620E8"/>
    <w:rsid w:val="00D7344C"/>
    <w:rsid w:val="00D8297E"/>
    <w:rsid w:val="00D83373"/>
    <w:rsid w:val="00D8423F"/>
    <w:rsid w:val="00D84DAE"/>
    <w:rsid w:val="00D87DAE"/>
    <w:rsid w:val="00D95530"/>
    <w:rsid w:val="00D968FB"/>
    <w:rsid w:val="00DA2869"/>
    <w:rsid w:val="00DA6DD2"/>
    <w:rsid w:val="00DB1770"/>
    <w:rsid w:val="00DB2671"/>
    <w:rsid w:val="00DB6178"/>
    <w:rsid w:val="00DC14E3"/>
    <w:rsid w:val="00DC179F"/>
    <w:rsid w:val="00DC2CF5"/>
    <w:rsid w:val="00DC590B"/>
    <w:rsid w:val="00DC5C45"/>
    <w:rsid w:val="00DD3558"/>
    <w:rsid w:val="00DD7A87"/>
    <w:rsid w:val="00DE1514"/>
    <w:rsid w:val="00DE683E"/>
    <w:rsid w:val="00DE6EB1"/>
    <w:rsid w:val="00DE7329"/>
    <w:rsid w:val="00DF09BC"/>
    <w:rsid w:val="00DF7133"/>
    <w:rsid w:val="00E03042"/>
    <w:rsid w:val="00E043AA"/>
    <w:rsid w:val="00E0484C"/>
    <w:rsid w:val="00E04928"/>
    <w:rsid w:val="00E0760D"/>
    <w:rsid w:val="00E10B16"/>
    <w:rsid w:val="00E128DF"/>
    <w:rsid w:val="00E1569F"/>
    <w:rsid w:val="00E31F89"/>
    <w:rsid w:val="00E35C70"/>
    <w:rsid w:val="00E3727E"/>
    <w:rsid w:val="00E4240D"/>
    <w:rsid w:val="00E42CAF"/>
    <w:rsid w:val="00E45225"/>
    <w:rsid w:val="00E45FDA"/>
    <w:rsid w:val="00E511F1"/>
    <w:rsid w:val="00E543FC"/>
    <w:rsid w:val="00E54751"/>
    <w:rsid w:val="00E54A94"/>
    <w:rsid w:val="00E562FA"/>
    <w:rsid w:val="00E6268B"/>
    <w:rsid w:val="00E65C3B"/>
    <w:rsid w:val="00E67286"/>
    <w:rsid w:val="00E706D4"/>
    <w:rsid w:val="00E74613"/>
    <w:rsid w:val="00E76D61"/>
    <w:rsid w:val="00E8325B"/>
    <w:rsid w:val="00E83725"/>
    <w:rsid w:val="00E83A7B"/>
    <w:rsid w:val="00E83D41"/>
    <w:rsid w:val="00E85CD6"/>
    <w:rsid w:val="00E9058A"/>
    <w:rsid w:val="00E91CE1"/>
    <w:rsid w:val="00E96958"/>
    <w:rsid w:val="00EA5F28"/>
    <w:rsid w:val="00EB6CFD"/>
    <w:rsid w:val="00EB72FA"/>
    <w:rsid w:val="00EC28EC"/>
    <w:rsid w:val="00EC65E6"/>
    <w:rsid w:val="00EC7929"/>
    <w:rsid w:val="00ED2068"/>
    <w:rsid w:val="00ED352F"/>
    <w:rsid w:val="00ED5BF0"/>
    <w:rsid w:val="00EE6772"/>
    <w:rsid w:val="00EF1850"/>
    <w:rsid w:val="00EF397C"/>
    <w:rsid w:val="00EF3F3B"/>
    <w:rsid w:val="00EF6DCB"/>
    <w:rsid w:val="00F01870"/>
    <w:rsid w:val="00F1647D"/>
    <w:rsid w:val="00F17381"/>
    <w:rsid w:val="00F209F1"/>
    <w:rsid w:val="00F21CA8"/>
    <w:rsid w:val="00F25D73"/>
    <w:rsid w:val="00F352DD"/>
    <w:rsid w:val="00F4181A"/>
    <w:rsid w:val="00F43DC8"/>
    <w:rsid w:val="00F44229"/>
    <w:rsid w:val="00F4464B"/>
    <w:rsid w:val="00F44F5D"/>
    <w:rsid w:val="00F45C41"/>
    <w:rsid w:val="00F57127"/>
    <w:rsid w:val="00F63E0F"/>
    <w:rsid w:val="00F701A3"/>
    <w:rsid w:val="00F75E61"/>
    <w:rsid w:val="00F76AF9"/>
    <w:rsid w:val="00F80407"/>
    <w:rsid w:val="00F8513E"/>
    <w:rsid w:val="00F865F2"/>
    <w:rsid w:val="00F90665"/>
    <w:rsid w:val="00FA35CA"/>
    <w:rsid w:val="00FA35DE"/>
    <w:rsid w:val="00FB0E3A"/>
    <w:rsid w:val="00FB33BB"/>
    <w:rsid w:val="00FD528B"/>
    <w:rsid w:val="00FE3924"/>
    <w:rsid w:val="00FE68E3"/>
    <w:rsid w:val="00FE7879"/>
    <w:rsid w:val="00FF0A30"/>
    <w:rsid w:val="00FF1D00"/>
    <w:rsid w:val="00FF240A"/>
    <w:rsid w:val="00FF5157"/>
    <w:rsid w:val="00FF766B"/>
    <w:rsid w:val="01B2238B"/>
    <w:rsid w:val="01B862E7"/>
    <w:rsid w:val="01E803B8"/>
    <w:rsid w:val="02CC1E1D"/>
    <w:rsid w:val="02EC1CA9"/>
    <w:rsid w:val="03096521"/>
    <w:rsid w:val="03613450"/>
    <w:rsid w:val="03AD2317"/>
    <w:rsid w:val="04A67864"/>
    <w:rsid w:val="04F12C38"/>
    <w:rsid w:val="05350B75"/>
    <w:rsid w:val="05A94F79"/>
    <w:rsid w:val="067B1A1F"/>
    <w:rsid w:val="06A93AA5"/>
    <w:rsid w:val="06B4131A"/>
    <w:rsid w:val="07321E04"/>
    <w:rsid w:val="0739353D"/>
    <w:rsid w:val="07C24D51"/>
    <w:rsid w:val="087B514F"/>
    <w:rsid w:val="08851711"/>
    <w:rsid w:val="08DB1AA0"/>
    <w:rsid w:val="09612C60"/>
    <w:rsid w:val="09844A12"/>
    <w:rsid w:val="0AC74D7B"/>
    <w:rsid w:val="0B990EB4"/>
    <w:rsid w:val="0C161D47"/>
    <w:rsid w:val="0C5115E1"/>
    <w:rsid w:val="0CC13BC5"/>
    <w:rsid w:val="0CFA546F"/>
    <w:rsid w:val="0D642A40"/>
    <w:rsid w:val="0DA2006A"/>
    <w:rsid w:val="0DF908A3"/>
    <w:rsid w:val="0EAE7427"/>
    <w:rsid w:val="0ED2248A"/>
    <w:rsid w:val="0EFD177B"/>
    <w:rsid w:val="0F980D54"/>
    <w:rsid w:val="0FA04BD9"/>
    <w:rsid w:val="10171924"/>
    <w:rsid w:val="104A4F59"/>
    <w:rsid w:val="10985249"/>
    <w:rsid w:val="113D1904"/>
    <w:rsid w:val="11753DA7"/>
    <w:rsid w:val="124C39B6"/>
    <w:rsid w:val="138310A1"/>
    <w:rsid w:val="14D32AE5"/>
    <w:rsid w:val="15946685"/>
    <w:rsid w:val="160D52BA"/>
    <w:rsid w:val="16D014D9"/>
    <w:rsid w:val="16DD4070"/>
    <w:rsid w:val="1703454E"/>
    <w:rsid w:val="1760782F"/>
    <w:rsid w:val="1767522E"/>
    <w:rsid w:val="17F25B30"/>
    <w:rsid w:val="17FC640C"/>
    <w:rsid w:val="1899615A"/>
    <w:rsid w:val="191B65B1"/>
    <w:rsid w:val="19A02A10"/>
    <w:rsid w:val="19E11E74"/>
    <w:rsid w:val="19E3283F"/>
    <w:rsid w:val="1A8E28A0"/>
    <w:rsid w:val="1B5F0FFA"/>
    <w:rsid w:val="1B980298"/>
    <w:rsid w:val="1B9C1779"/>
    <w:rsid w:val="1BF87490"/>
    <w:rsid w:val="1CA701F9"/>
    <w:rsid w:val="1CF60711"/>
    <w:rsid w:val="20551CA7"/>
    <w:rsid w:val="2099437C"/>
    <w:rsid w:val="213232F0"/>
    <w:rsid w:val="21800DC2"/>
    <w:rsid w:val="22333D36"/>
    <w:rsid w:val="233F3566"/>
    <w:rsid w:val="24525D5B"/>
    <w:rsid w:val="246D7A31"/>
    <w:rsid w:val="249C779D"/>
    <w:rsid w:val="254D3F4B"/>
    <w:rsid w:val="2573128A"/>
    <w:rsid w:val="262C1DA8"/>
    <w:rsid w:val="26534B3F"/>
    <w:rsid w:val="26ED37CE"/>
    <w:rsid w:val="27085BE5"/>
    <w:rsid w:val="270B6F32"/>
    <w:rsid w:val="27496EF3"/>
    <w:rsid w:val="277667B9"/>
    <w:rsid w:val="285F6959"/>
    <w:rsid w:val="288C3124"/>
    <w:rsid w:val="2909293D"/>
    <w:rsid w:val="291657C1"/>
    <w:rsid w:val="292C4951"/>
    <w:rsid w:val="29A625CF"/>
    <w:rsid w:val="29E868E8"/>
    <w:rsid w:val="2A7B7528"/>
    <w:rsid w:val="2AFC4422"/>
    <w:rsid w:val="2B825488"/>
    <w:rsid w:val="2C3C160C"/>
    <w:rsid w:val="2D30590D"/>
    <w:rsid w:val="2DF6080A"/>
    <w:rsid w:val="2E403CA3"/>
    <w:rsid w:val="2E9141FA"/>
    <w:rsid w:val="2F4B3340"/>
    <w:rsid w:val="2FF2257C"/>
    <w:rsid w:val="2FF77F3F"/>
    <w:rsid w:val="302B087E"/>
    <w:rsid w:val="302F3016"/>
    <w:rsid w:val="304D250D"/>
    <w:rsid w:val="321C021E"/>
    <w:rsid w:val="328866B7"/>
    <w:rsid w:val="33073A6D"/>
    <w:rsid w:val="3363481C"/>
    <w:rsid w:val="343804F1"/>
    <w:rsid w:val="345D63E5"/>
    <w:rsid w:val="357B2F31"/>
    <w:rsid w:val="35E021ED"/>
    <w:rsid w:val="370A1955"/>
    <w:rsid w:val="37572795"/>
    <w:rsid w:val="3798520B"/>
    <w:rsid w:val="37C91FF5"/>
    <w:rsid w:val="38A65476"/>
    <w:rsid w:val="39A0706C"/>
    <w:rsid w:val="3AA567B7"/>
    <w:rsid w:val="3AE44E75"/>
    <w:rsid w:val="3AF24C55"/>
    <w:rsid w:val="3BA655AE"/>
    <w:rsid w:val="3C23782D"/>
    <w:rsid w:val="3C9B63B8"/>
    <w:rsid w:val="3CFB4C5A"/>
    <w:rsid w:val="3CFF7EEA"/>
    <w:rsid w:val="3DB039E8"/>
    <w:rsid w:val="3DFD5A97"/>
    <w:rsid w:val="3E773C8E"/>
    <w:rsid w:val="3EE358A3"/>
    <w:rsid w:val="3F933B3C"/>
    <w:rsid w:val="3FB81C95"/>
    <w:rsid w:val="41786A2F"/>
    <w:rsid w:val="43B51A56"/>
    <w:rsid w:val="443F696A"/>
    <w:rsid w:val="444B00B8"/>
    <w:rsid w:val="44594EC0"/>
    <w:rsid w:val="45B94952"/>
    <w:rsid w:val="46564B2F"/>
    <w:rsid w:val="470570DE"/>
    <w:rsid w:val="4705754D"/>
    <w:rsid w:val="484E51F3"/>
    <w:rsid w:val="487215D5"/>
    <w:rsid w:val="48B77862"/>
    <w:rsid w:val="48D47A1B"/>
    <w:rsid w:val="492D613A"/>
    <w:rsid w:val="494C677D"/>
    <w:rsid w:val="4AC0100C"/>
    <w:rsid w:val="4C957B41"/>
    <w:rsid w:val="4DB00E41"/>
    <w:rsid w:val="4E195F75"/>
    <w:rsid w:val="4F474FE7"/>
    <w:rsid w:val="50FC206C"/>
    <w:rsid w:val="51EF2EB2"/>
    <w:rsid w:val="525B673A"/>
    <w:rsid w:val="53FA569F"/>
    <w:rsid w:val="540A0679"/>
    <w:rsid w:val="54841119"/>
    <w:rsid w:val="54D71FDF"/>
    <w:rsid w:val="54E81AE4"/>
    <w:rsid w:val="552E7C30"/>
    <w:rsid w:val="555033B4"/>
    <w:rsid w:val="55E12022"/>
    <w:rsid w:val="5662011D"/>
    <w:rsid w:val="57352D9C"/>
    <w:rsid w:val="578E65C1"/>
    <w:rsid w:val="57AB51CA"/>
    <w:rsid w:val="57B5722F"/>
    <w:rsid w:val="5843585C"/>
    <w:rsid w:val="585C3514"/>
    <w:rsid w:val="586C755D"/>
    <w:rsid w:val="59046F9A"/>
    <w:rsid w:val="59994EC3"/>
    <w:rsid w:val="5A524186"/>
    <w:rsid w:val="5A5736EB"/>
    <w:rsid w:val="5A806A7E"/>
    <w:rsid w:val="5B0069E9"/>
    <w:rsid w:val="5C7D6D34"/>
    <w:rsid w:val="5D4A19C5"/>
    <w:rsid w:val="5D5742DC"/>
    <w:rsid w:val="5DBF0AAA"/>
    <w:rsid w:val="5E6A794E"/>
    <w:rsid w:val="5E8C1DD0"/>
    <w:rsid w:val="5EA86939"/>
    <w:rsid w:val="5EDC0C46"/>
    <w:rsid w:val="5F705874"/>
    <w:rsid w:val="60611894"/>
    <w:rsid w:val="60C20D5B"/>
    <w:rsid w:val="61666B86"/>
    <w:rsid w:val="626059A6"/>
    <w:rsid w:val="628A19B9"/>
    <w:rsid w:val="63D34C37"/>
    <w:rsid w:val="64153E76"/>
    <w:rsid w:val="643D6E01"/>
    <w:rsid w:val="648F48F3"/>
    <w:rsid w:val="64A54A04"/>
    <w:rsid w:val="64DF53A7"/>
    <w:rsid w:val="650D01C1"/>
    <w:rsid w:val="661F2C0A"/>
    <w:rsid w:val="664862BA"/>
    <w:rsid w:val="66525549"/>
    <w:rsid w:val="674F71DF"/>
    <w:rsid w:val="676A5512"/>
    <w:rsid w:val="67E458A1"/>
    <w:rsid w:val="67FC3B44"/>
    <w:rsid w:val="680165CE"/>
    <w:rsid w:val="682C1D9E"/>
    <w:rsid w:val="68837757"/>
    <w:rsid w:val="68B5109A"/>
    <w:rsid w:val="69516253"/>
    <w:rsid w:val="6A2B7848"/>
    <w:rsid w:val="6AAF4FFA"/>
    <w:rsid w:val="6BFA29C4"/>
    <w:rsid w:val="6C3F7695"/>
    <w:rsid w:val="6C7E00B7"/>
    <w:rsid w:val="6CC0560D"/>
    <w:rsid w:val="6CC648E7"/>
    <w:rsid w:val="6DDA2089"/>
    <w:rsid w:val="6F314252"/>
    <w:rsid w:val="700A44DB"/>
    <w:rsid w:val="70857053"/>
    <w:rsid w:val="70D8688B"/>
    <w:rsid w:val="70DB0C89"/>
    <w:rsid w:val="71387915"/>
    <w:rsid w:val="720E1310"/>
    <w:rsid w:val="734012A1"/>
    <w:rsid w:val="7378140D"/>
    <w:rsid w:val="739C1C6C"/>
    <w:rsid w:val="73B073E6"/>
    <w:rsid w:val="73EE3E47"/>
    <w:rsid w:val="73F35428"/>
    <w:rsid w:val="74F53C58"/>
    <w:rsid w:val="75C10442"/>
    <w:rsid w:val="76012046"/>
    <w:rsid w:val="765C5DF9"/>
    <w:rsid w:val="765D6E27"/>
    <w:rsid w:val="76825C52"/>
    <w:rsid w:val="76B73383"/>
    <w:rsid w:val="76BC5792"/>
    <w:rsid w:val="775125C5"/>
    <w:rsid w:val="77764D90"/>
    <w:rsid w:val="78E20E80"/>
    <w:rsid w:val="798B2DCA"/>
    <w:rsid w:val="7A093233"/>
    <w:rsid w:val="7A724F77"/>
    <w:rsid w:val="7A822CF3"/>
    <w:rsid w:val="7ACE528E"/>
    <w:rsid w:val="7AD85603"/>
    <w:rsid w:val="7B680C0B"/>
    <w:rsid w:val="7C40087E"/>
    <w:rsid w:val="7CBB192F"/>
    <w:rsid w:val="7E2359E5"/>
    <w:rsid w:val="7E582255"/>
    <w:rsid w:val="7E63601A"/>
    <w:rsid w:val="7E97207D"/>
    <w:rsid w:val="7E9B07CC"/>
    <w:rsid w:val="7EC22E0A"/>
    <w:rsid w:val="7EE0591F"/>
    <w:rsid w:val="7F0674DF"/>
    <w:rsid w:val="7F9A4939"/>
    <w:rsid w:val="FE753B2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paragraph" w:styleId="5">
    <w:name w:val="heading 3"/>
    <w:basedOn w:val="1"/>
    <w:next w:val="1"/>
    <w:qFormat/>
    <w:uiPriority w:val="0"/>
    <w:pPr>
      <w:keepNext/>
      <w:keepLines/>
      <w:spacing w:before="120" w:after="120" w:line="300" w:lineRule="auto"/>
      <w:outlineLvl w:val="2"/>
    </w:pPr>
    <w:rPr>
      <w:rFonts w:ascii="宋体"/>
      <w:b/>
      <w:bCs/>
      <w:sz w:val="24"/>
      <w:szCs w:val="32"/>
    </w:rPr>
  </w:style>
  <w:style w:type="paragraph" w:styleId="6">
    <w:name w:val="heading 4"/>
    <w:basedOn w:val="1"/>
    <w:next w:val="1"/>
    <w:qFormat/>
    <w:uiPriority w:val="0"/>
    <w:pPr>
      <w:keepNext/>
      <w:keepLines/>
      <w:spacing w:line="300" w:lineRule="auto"/>
      <w:outlineLvl w:val="3"/>
    </w:pPr>
    <w:rPr>
      <w:rFonts w:ascii="Arial" w:hAnsi="Arial"/>
      <w:bCs/>
      <w:sz w:val="24"/>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8"/>
    <w:basedOn w:val="1"/>
    <w:next w:val="1"/>
    <w:qFormat/>
    <w:uiPriority w:val="1"/>
    <w:pPr>
      <w:ind w:left="351"/>
      <w:outlineLvl w:val="8"/>
    </w:pPr>
    <w:rPr>
      <w:rFonts w:ascii="仿宋_GB2312" w:hAnsi="仿宋_GB2312" w:eastAsia="仿宋_GB2312" w:cs="仿宋_GB2312"/>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10">
    <w:name w:val="toc 7"/>
    <w:basedOn w:val="1"/>
    <w:next w:val="1"/>
    <w:semiHidden/>
    <w:qFormat/>
    <w:uiPriority w:val="0"/>
    <w:pPr>
      <w:ind w:left="1260"/>
      <w:jc w:val="left"/>
    </w:pPr>
    <w:rPr>
      <w:sz w:val="18"/>
      <w:szCs w:val="18"/>
    </w:rPr>
  </w:style>
  <w:style w:type="paragraph" w:styleId="11">
    <w:name w:val="Normal Indent"/>
    <w:basedOn w:val="1"/>
    <w:next w:val="1"/>
    <w:qFormat/>
    <w:uiPriority w:val="0"/>
    <w:pPr>
      <w:spacing w:line="360" w:lineRule="auto"/>
      <w:ind w:firstLine="420" w:firstLineChars="200"/>
    </w:pPr>
    <w:rPr>
      <w:sz w:val="24"/>
      <w:szCs w:val="24"/>
    </w:rPr>
  </w:style>
  <w:style w:type="paragraph" w:styleId="12">
    <w:name w:val="Document Map"/>
    <w:basedOn w:val="1"/>
    <w:semiHidden/>
    <w:qFormat/>
    <w:uiPriority w:val="0"/>
    <w:pPr>
      <w:shd w:val="clear" w:color="auto" w:fill="000080"/>
    </w:pPr>
  </w:style>
  <w:style w:type="paragraph" w:styleId="13">
    <w:name w:val="toa heading"/>
    <w:basedOn w:val="1"/>
    <w:next w:val="1"/>
    <w:qFormat/>
    <w:uiPriority w:val="0"/>
    <w:pPr>
      <w:spacing w:before="120"/>
    </w:pPr>
    <w:rPr>
      <w:rFonts w:ascii="Arial" w:hAnsi="Arial"/>
      <w:sz w:val="24"/>
      <w:szCs w:val="20"/>
    </w:rPr>
  </w:style>
  <w:style w:type="paragraph" w:styleId="14">
    <w:name w:val="annotation text"/>
    <w:basedOn w:val="1"/>
    <w:semiHidden/>
    <w:qFormat/>
    <w:uiPriority w:val="0"/>
    <w:pPr>
      <w:jc w:val="left"/>
    </w:pPr>
  </w:style>
  <w:style w:type="paragraph" w:styleId="15">
    <w:name w:val="Body Text 3"/>
    <w:basedOn w:val="1"/>
    <w:qFormat/>
    <w:uiPriority w:val="0"/>
    <w:rPr>
      <w:color w:val="FF00FF"/>
    </w:rPr>
  </w:style>
  <w:style w:type="paragraph" w:styleId="16">
    <w:name w:val="Body Text Indent"/>
    <w:basedOn w:val="1"/>
    <w:next w:val="11"/>
    <w:qFormat/>
    <w:uiPriority w:val="0"/>
    <w:pPr>
      <w:ind w:left="853" w:leftChars="406" w:firstLine="490" w:firstLineChars="204"/>
    </w:pPr>
    <w:rPr>
      <w:rFonts w:ascii="宋体" w:hAnsi="宋体"/>
      <w:sz w:val="24"/>
    </w:rPr>
  </w:style>
  <w:style w:type="paragraph" w:styleId="17">
    <w:name w:val="toc 5"/>
    <w:basedOn w:val="1"/>
    <w:next w:val="1"/>
    <w:semiHidden/>
    <w:qFormat/>
    <w:uiPriority w:val="0"/>
    <w:pPr>
      <w:ind w:left="840"/>
      <w:jc w:val="left"/>
    </w:pPr>
    <w:rPr>
      <w:sz w:val="18"/>
      <w:szCs w:val="18"/>
    </w:rPr>
  </w:style>
  <w:style w:type="paragraph" w:styleId="18">
    <w:name w:val="toc 3"/>
    <w:basedOn w:val="1"/>
    <w:next w:val="1"/>
    <w:qFormat/>
    <w:uiPriority w:val="39"/>
    <w:pPr>
      <w:ind w:left="420"/>
      <w:jc w:val="left"/>
    </w:pPr>
    <w:rPr>
      <w:i/>
      <w:iCs/>
      <w:sz w:val="20"/>
      <w:szCs w:val="20"/>
    </w:rPr>
  </w:style>
  <w:style w:type="paragraph" w:styleId="19">
    <w:name w:val="Plain Text"/>
    <w:basedOn w:val="1"/>
    <w:qFormat/>
    <w:uiPriority w:val="0"/>
    <w:rPr>
      <w:rFonts w:ascii="宋体" w:hAnsi="Courier New"/>
      <w:kern w:val="10"/>
      <w:szCs w:val="21"/>
    </w:rPr>
  </w:style>
  <w:style w:type="paragraph" w:styleId="20">
    <w:name w:val="toc 8"/>
    <w:basedOn w:val="1"/>
    <w:next w:val="1"/>
    <w:semiHidden/>
    <w:qFormat/>
    <w:uiPriority w:val="0"/>
    <w:pPr>
      <w:ind w:left="1470"/>
      <w:jc w:val="left"/>
    </w:pPr>
    <w:rPr>
      <w:sz w:val="18"/>
      <w:szCs w:val="18"/>
    </w:rPr>
  </w:style>
  <w:style w:type="paragraph" w:styleId="21">
    <w:name w:val="Date"/>
    <w:basedOn w:val="1"/>
    <w:next w:val="1"/>
    <w:qFormat/>
    <w:uiPriority w:val="0"/>
    <w:pPr>
      <w:ind w:left="100" w:leftChars="2500"/>
    </w:pPr>
    <w:rPr>
      <w:color w:val="0000FF"/>
      <w:sz w:val="24"/>
    </w:rPr>
  </w:style>
  <w:style w:type="paragraph" w:styleId="22">
    <w:name w:val="Body Text Indent 2"/>
    <w:basedOn w:val="1"/>
    <w:qFormat/>
    <w:uiPriority w:val="0"/>
    <w:pPr>
      <w:ind w:left="899" w:leftChars="428" w:firstLine="456" w:firstLineChars="217"/>
    </w:p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1"/>
      </w:tabs>
      <w:spacing w:before="120" w:after="120" w:line="360" w:lineRule="auto"/>
      <w:jc w:val="left"/>
    </w:pPr>
    <w:rPr>
      <w:rFonts w:ascii="宋体" w:hAnsi="宋体" w:cs="Arial"/>
      <w:bCs/>
      <w:caps/>
      <w:sz w:val="24"/>
    </w:rPr>
  </w:style>
  <w:style w:type="paragraph" w:styleId="27">
    <w:name w:val="toc 4"/>
    <w:basedOn w:val="1"/>
    <w:next w:val="1"/>
    <w:semiHidden/>
    <w:qFormat/>
    <w:uiPriority w:val="0"/>
    <w:pPr>
      <w:ind w:left="630"/>
      <w:jc w:val="left"/>
    </w:pPr>
    <w:rPr>
      <w:sz w:val="18"/>
      <w:szCs w:val="18"/>
    </w:rPr>
  </w:style>
  <w:style w:type="paragraph" w:styleId="28">
    <w:name w:val="toc 6"/>
    <w:basedOn w:val="1"/>
    <w:next w:val="1"/>
    <w:semiHidden/>
    <w:qFormat/>
    <w:uiPriority w:val="0"/>
    <w:pPr>
      <w:ind w:left="1050"/>
      <w:jc w:val="left"/>
    </w:pPr>
    <w:rPr>
      <w:sz w:val="18"/>
      <w:szCs w:val="18"/>
    </w:rPr>
  </w:style>
  <w:style w:type="paragraph" w:styleId="29">
    <w:name w:val="Body Text Indent 3"/>
    <w:basedOn w:val="1"/>
    <w:qFormat/>
    <w:uiPriority w:val="0"/>
    <w:pPr>
      <w:ind w:left="899" w:leftChars="428" w:firstLine="458" w:firstLineChars="218"/>
    </w:pPr>
  </w:style>
  <w:style w:type="paragraph" w:styleId="30">
    <w:name w:val="table of figures"/>
    <w:basedOn w:val="1"/>
    <w:next w:val="1"/>
    <w:semiHidden/>
    <w:qFormat/>
    <w:uiPriority w:val="0"/>
    <w:pPr>
      <w:ind w:left="840" w:leftChars="200" w:hanging="420" w:hangingChars="200"/>
    </w:pPr>
  </w:style>
  <w:style w:type="paragraph" w:styleId="31">
    <w:name w:val="toc 2"/>
    <w:basedOn w:val="1"/>
    <w:next w:val="1"/>
    <w:qFormat/>
    <w:uiPriority w:val="39"/>
    <w:pPr>
      <w:ind w:left="210"/>
      <w:jc w:val="left"/>
    </w:pPr>
    <w:rPr>
      <w:smallCaps/>
      <w:sz w:val="20"/>
      <w:szCs w:val="20"/>
    </w:rPr>
  </w:style>
  <w:style w:type="paragraph" w:styleId="32">
    <w:name w:val="toc 9"/>
    <w:basedOn w:val="1"/>
    <w:next w:val="1"/>
    <w:semiHidden/>
    <w:qFormat/>
    <w:uiPriority w:val="0"/>
    <w:pPr>
      <w:ind w:left="1680"/>
      <w:jc w:val="left"/>
    </w:pPr>
    <w:rPr>
      <w:sz w:val="18"/>
      <w:szCs w:val="18"/>
    </w:rPr>
  </w:style>
  <w:style w:type="paragraph" w:styleId="33">
    <w:name w:val="Body Text 2"/>
    <w:basedOn w:val="1"/>
    <w:qFormat/>
    <w:uiPriority w:val="0"/>
    <w:rPr>
      <w:color w:val="FF0000"/>
      <w:sz w:val="24"/>
    </w:rPr>
  </w:style>
  <w:style w:type="paragraph" w:styleId="3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qFormat/>
    <w:uiPriority w:val="99"/>
    <w:pPr>
      <w:widowControl/>
      <w:spacing w:before="100" w:beforeAutospacing="1" w:after="100" w:afterAutospacing="1"/>
      <w:jc w:val="left"/>
    </w:pPr>
    <w:rPr>
      <w:rFonts w:ascii="Verdana" w:hAnsi="Verdana" w:cs="宋体"/>
      <w:color w:val="666666"/>
      <w:kern w:val="0"/>
      <w:sz w:val="18"/>
      <w:szCs w:val="18"/>
    </w:rPr>
  </w:style>
  <w:style w:type="paragraph" w:styleId="37">
    <w:name w:val="Body Text First Indent 2"/>
    <w:basedOn w:val="16"/>
    <w:next w:val="1"/>
    <w:qFormat/>
    <w:uiPriority w:val="0"/>
    <w:pPr>
      <w:spacing w:after="120"/>
      <w:ind w:left="420" w:leftChars="200" w:firstLine="420" w:firstLineChars="200"/>
    </w:pPr>
    <w:rPr>
      <w:rFonts w:ascii="Times New Roman" w:eastAsia="宋体"/>
      <w:sz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rPr>
      <w:b/>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semiHidden/>
    <w:qFormat/>
    <w:uiPriority w:val="0"/>
    <w:rPr>
      <w:sz w:val="21"/>
      <w:szCs w:val="21"/>
    </w:rPr>
  </w:style>
  <w:style w:type="character" w:customStyle="1" w:styleId="46">
    <w:name w:val="diczx41"/>
    <w:qFormat/>
    <w:uiPriority w:val="0"/>
    <w:rPr>
      <w:b/>
      <w:bCs/>
      <w:color w:val="404040"/>
    </w:rPr>
  </w:style>
  <w:style w:type="character" w:customStyle="1" w:styleId="47">
    <w:name w:val="style41"/>
    <w:qFormat/>
    <w:uiPriority w:val="0"/>
    <w:rPr>
      <w:color w:val="000000"/>
    </w:rPr>
  </w:style>
  <w:style w:type="character" w:customStyle="1" w:styleId="48">
    <w:name w:val="content21"/>
    <w:basedOn w:val="40"/>
    <w:qFormat/>
    <w:uiPriority w:val="0"/>
  </w:style>
  <w:style w:type="paragraph" w:customStyle="1" w:styleId="49">
    <w:name w:val="xiao b"/>
    <w:basedOn w:val="1"/>
    <w:qFormat/>
    <w:uiPriority w:val="0"/>
    <w:pPr>
      <w:jc w:val="center"/>
    </w:pPr>
    <w:rPr>
      <w:rFonts w:eastAsia="黑体"/>
      <w:sz w:val="24"/>
      <w:szCs w:val="20"/>
    </w:rPr>
  </w:style>
  <w:style w:type="paragraph" w:customStyle="1" w:styleId="50">
    <w:name w:val="Char1 Char Char Char"/>
    <w:basedOn w:val="1"/>
    <w:qFormat/>
    <w:uiPriority w:val="0"/>
    <w:rPr>
      <w:rFonts w:ascii="仿宋_GB2312" w:eastAsia="仿宋_GB2312"/>
      <w:b/>
      <w:sz w:val="32"/>
      <w:szCs w:val="32"/>
    </w:rPr>
  </w:style>
  <w:style w:type="paragraph" w:customStyle="1" w:styleId="51">
    <w:name w:val="正文2"/>
    <w:basedOn w:val="2"/>
    <w:qFormat/>
    <w:uiPriority w:val="0"/>
    <w:pPr>
      <w:spacing w:line="360" w:lineRule="auto"/>
      <w:ind w:firstLine="480" w:firstLineChars="200"/>
    </w:pPr>
    <w:rPr>
      <w:rFonts w:ascii="宋体"/>
    </w:rPr>
  </w:style>
  <w:style w:type="paragraph" w:customStyle="1" w:styleId="52">
    <w:name w:val="unnamed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1 Char"/>
    <w:basedOn w:val="12"/>
    <w:qFormat/>
    <w:uiPriority w:val="0"/>
    <w:rPr>
      <w:szCs w:val="20"/>
    </w:rPr>
  </w:style>
  <w:style w:type="paragraph" w:customStyle="1" w:styleId="54">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Char Char Char Char Char Char Char Char1 Char Char Char Char Char Char Char Char Char Char1 Char Char Char Char Char Char Char Char"/>
    <w:basedOn w:val="1"/>
    <w:qFormat/>
    <w:uiPriority w:val="0"/>
    <w:pPr>
      <w:spacing w:line="360" w:lineRule="auto"/>
      <w:ind w:firstLine="200" w:firstLineChars="200"/>
    </w:pPr>
    <w:rPr>
      <w:rFonts w:ascii="宋体" w:hAnsi="宋体" w:cs="宋体"/>
      <w:sz w:val="24"/>
    </w:rPr>
  </w:style>
  <w:style w:type="character" w:customStyle="1" w:styleId="56">
    <w:name w:val="页眉 Char"/>
    <w:link w:val="25"/>
    <w:qFormat/>
    <w:uiPriority w:val="0"/>
    <w:rPr>
      <w:kern w:val="2"/>
      <w:sz w:val="18"/>
      <w:szCs w:val="18"/>
    </w:rPr>
  </w:style>
  <w:style w:type="paragraph" w:customStyle="1" w:styleId="57">
    <w:name w:val="列表段落"/>
    <w:basedOn w:val="1"/>
    <w:unhideWhenUsed/>
    <w:qFormat/>
    <w:uiPriority w:val="34"/>
    <w:pPr>
      <w:ind w:firstLine="420" w:firstLineChars="200"/>
    </w:pPr>
    <w:rPr>
      <w:rFonts w:ascii="Calibri" w:hAnsi="Calibri"/>
    </w:rPr>
  </w:style>
  <w:style w:type="paragraph" w:styleId="58">
    <w:name w:val="List Paragraph"/>
    <w:basedOn w:val="1"/>
    <w:qFormat/>
    <w:uiPriority w:val="34"/>
    <w:pPr>
      <w:ind w:firstLine="420" w:firstLineChars="200"/>
    </w:pPr>
    <w:rPr>
      <w:szCs w:val="20"/>
    </w:rPr>
  </w:style>
  <w:style w:type="paragraph" w:customStyle="1" w:styleId="59">
    <w:name w:val="正文1"/>
    <w:basedOn w:val="1"/>
    <w:next w:val="1"/>
    <w:qFormat/>
    <w:uiPriority w:val="0"/>
  </w:style>
  <w:style w:type="paragraph" w:customStyle="1" w:styleId="60">
    <w:name w:val="Table Paragraph"/>
    <w:basedOn w:val="1"/>
    <w:qFormat/>
    <w:uiPriority w:val="1"/>
    <w:rPr>
      <w:rFonts w:ascii="宋体" w:hAnsi="宋体" w:cs="宋体"/>
      <w:lang w:val="zh-CN" w:bidi="zh-CN"/>
    </w:rPr>
  </w:style>
  <w:style w:type="paragraph" w:customStyle="1" w:styleId="61">
    <w:name w:val="p0"/>
    <w:basedOn w:val="1"/>
    <w:qFormat/>
    <w:uiPriority w:val="0"/>
    <w:pPr>
      <w:widowControl/>
    </w:pPr>
    <w:rPr>
      <w:kern w:val="0"/>
      <w:szCs w:val="21"/>
    </w:rPr>
  </w:style>
  <w:style w:type="character" w:customStyle="1" w:styleId="62">
    <w:name w:val="apple-converted-space"/>
    <w:basedOn w:val="40"/>
    <w:qFormat/>
    <w:uiPriority w:val="0"/>
  </w:style>
  <w:style w:type="paragraph" w:customStyle="1" w:styleId="6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280D3-237D-43A5-A016-0F58CDD99355}">
  <ds:schemaRefs/>
</ds:datastoreItem>
</file>

<file path=docProps/app.xml><?xml version="1.0" encoding="utf-8"?>
<Properties xmlns="http://schemas.openxmlformats.org/officeDocument/2006/extended-properties" xmlns:vt="http://schemas.openxmlformats.org/officeDocument/2006/docPropsVTypes">
  <Company>湖北机电设备招标有限公司</Company>
  <Pages>4</Pages>
  <Words>2131</Words>
  <Characters>2487</Characters>
  <Lines>61</Lines>
  <Paragraphs>17</Paragraphs>
  <TotalTime>176</TotalTime>
  <ScaleCrop>false</ScaleCrop>
  <LinksUpToDate>false</LinksUpToDate>
  <CharactersWithSpaces>2543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2021-07-16T07:51:00Z</dcterms:created>
  <dc:creator>JCX</dc:creator>
  <cp:lastModifiedBy>Administrator</cp:lastModifiedBy>
  <cp:lastPrinted>2010-03-31T09:28:00Z</cp:lastPrinted>
  <dcterms:modified xsi:type="dcterms:W3CDTF">2025-11-11T08:55:06Z</dcterms:modified>
  <dc:title>总 目 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E193B0190B164A9A84932EA8AEB417E3_13</vt:lpwstr>
  </property>
  <property fmtid="{D5CDD505-2E9C-101B-9397-08002B2CF9AE}" pid="4" name="KSOTemplateDocerSaveRecord">
    <vt:lpwstr>eyJoZGlkIjoiOGRhMjBmOTM5NjU5ODcxZjE2ZDA4NmIzNzQzNzI5N2EiLCJ1c2VySWQiOiIxNjkwOTM0MDI4In0=</vt:lpwstr>
  </property>
</Properties>
</file>