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CEB08">
      <w:pPr>
        <w:ind w:left="3291" w:hanging="3291" w:hangingChars="745"/>
        <w:jc w:val="center"/>
        <w:rPr>
          <w:rFonts w:hint="eastAsia" w:ascii="宋体" w:hAnsi="宋体" w:cs="宋体"/>
          <w:b/>
          <w:bCs/>
          <w:sz w:val="44"/>
          <w:szCs w:val="44"/>
          <w:lang w:val="en-US" w:eastAsia="zh-CN"/>
        </w:rPr>
      </w:pPr>
    </w:p>
    <w:p w14:paraId="2C73095D">
      <w:pPr>
        <w:ind w:left="3291" w:hanging="3291" w:hangingChars="745"/>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山东钢铁股份有限公司</w:t>
      </w:r>
    </w:p>
    <w:p w14:paraId="4EBB2037">
      <w:pPr>
        <w:ind w:left="3291" w:hanging="3291" w:hangingChars="745"/>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炼钢厂</w:t>
      </w:r>
      <w:r>
        <w:rPr>
          <w:rFonts w:hint="eastAsia" w:ascii="宋体" w:hAnsi="宋体" w:cs="宋体"/>
          <w:b/>
          <w:bCs/>
          <w:sz w:val="44"/>
          <w:szCs w:val="44"/>
        </w:rPr>
        <w:t>废钢、渣钢切割外委承包</w:t>
      </w:r>
      <w:r>
        <w:rPr>
          <w:rFonts w:hint="eastAsia" w:ascii="宋体" w:hAnsi="宋体" w:cs="宋体"/>
          <w:b/>
          <w:bCs/>
          <w:sz w:val="44"/>
          <w:szCs w:val="44"/>
          <w:lang w:val="en-US" w:eastAsia="zh-CN"/>
        </w:rPr>
        <w:t>业务</w:t>
      </w:r>
    </w:p>
    <w:p w14:paraId="46723137">
      <w:pPr>
        <w:ind w:left="3291" w:hanging="3291" w:hangingChars="745"/>
        <w:jc w:val="center"/>
        <w:rPr>
          <w:rFonts w:ascii="宋体" w:hAnsi="宋体" w:cs="宋体"/>
          <w:b/>
          <w:bCs/>
          <w:sz w:val="44"/>
          <w:szCs w:val="44"/>
        </w:rPr>
      </w:pPr>
      <w:r>
        <w:rPr>
          <w:rFonts w:hint="eastAsia" w:ascii="宋体" w:hAnsi="宋体" w:cs="宋体"/>
          <w:b/>
          <w:bCs/>
          <w:sz w:val="44"/>
          <w:szCs w:val="44"/>
        </w:rPr>
        <w:t>招标文件</w:t>
      </w:r>
    </w:p>
    <w:p w14:paraId="02302422">
      <w:pPr>
        <w:pStyle w:val="4"/>
        <w:keepNext w:val="0"/>
        <w:keepLines w:val="0"/>
        <w:pageBreakBefore w:val="0"/>
        <w:widowControl/>
        <w:kinsoku/>
        <w:wordWrap/>
        <w:overflowPunct/>
        <w:topLinePunct w:val="0"/>
        <w:bidi w:val="0"/>
        <w:adjustRightInd w:val="0"/>
        <w:snapToGrid w:val="0"/>
        <w:spacing w:before="0" w:beforeAutospacing="0" w:after="0" w:afterAutospacing="0" w:line="560" w:lineRule="exact"/>
        <w:ind w:firstLine="640" w:firstLineChars="200"/>
        <w:jc w:val="both"/>
        <w:rPr>
          <w:rFonts w:hint="eastAsia" w:ascii="黑体" w:hAnsi="黑体" w:eastAsia="黑体" w:cs="宋体"/>
          <w:sz w:val="32"/>
          <w:szCs w:val="32"/>
        </w:rPr>
      </w:pPr>
    </w:p>
    <w:p w14:paraId="0D7D60B0">
      <w:pPr>
        <w:pStyle w:val="4"/>
        <w:keepNext w:val="0"/>
        <w:keepLines w:val="0"/>
        <w:pageBreakBefore w:val="0"/>
        <w:widowControl/>
        <w:kinsoku/>
        <w:wordWrap/>
        <w:overflowPunct/>
        <w:topLinePunct w:val="0"/>
        <w:bidi w:val="0"/>
        <w:adjustRightInd w:val="0"/>
        <w:snapToGrid w:val="0"/>
        <w:spacing w:before="0" w:beforeAutospacing="0" w:after="0" w:afterAutospacing="0" w:line="560" w:lineRule="exact"/>
        <w:ind w:leftChars="0" w:firstLine="640" w:firstLineChars="200"/>
        <w:jc w:val="both"/>
        <w:rPr>
          <w:rFonts w:ascii="黑体" w:hAnsi="黑体" w:eastAsia="黑体" w:cs="宋体"/>
          <w:bCs/>
          <w:sz w:val="32"/>
          <w:szCs w:val="32"/>
        </w:rPr>
      </w:pPr>
      <w:r>
        <w:rPr>
          <w:rFonts w:hint="eastAsia" w:ascii="黑体" w:hAnsi="黑体" w:eastAsia="黑体" w:cs="宋体"/>
          <w:sz w:val="32"/>
          <w:szCs w:val="32"/>
        </w:rPr>
        <w:t>一、</w:t>
      </w:r>
      <w:r>
        <w:rPr>
          <w:rFonts w:hint="eastAsia" w:ascii="黑体" w:hAnsi="黑体" w:eastAsia="黑体" w:cs="宋体"/>
          <w:bCs/>
          <w:sz w:val="32"/>
          <w:szCs w:val="32"/>
        </w:rPr>
        <w:t>招标人</w:t>
      </w:r>
    </w:p>
    <w:p w14:paraId="72D32550">
      <w:pPr>
        <w:keepNext w:val="0"/>
        <w:keepLines w:val="0"/>
        <w:pageBreakBefore w:val="0"/>
        <w:widowControl/>
        <w:kinsoku/>
        <w:wordWrap/>
        <w:overflowPunct/>
        <w:topLinePunct w:val="0"/>
        <w:bidi w:val="0"/>
        <w:adjustRightInd w:val="0"/>
        <w:snapToGrid w:val="0"/>
        <w:spacing w:line="560" w:lineRule="exact"/>
        <w:ind w:leftChars="0" w:firstLine="640" w:firstLineChars="200"/>
        <w:rPr>
          <w:rFonts w:hint="eastAsia" w:ascii="仿宋_GB2312" w:hAnsi="宋体" w:eastAsia="仿宋_GB2312"/>
          <w:sz w:val="32"/>
          <w:szCs w:val="32"/>
        </w:rPr>
      </w:pPr>
      <w:r>
        <w:rPr>
          <w:rFonts w:hint="eastAsia" w:ascii="楷体" w:hAnsi="楷体" w:eastAsia="楷体" w:cs="宋体"/>
          <w:bCs/>
          <w:kern w:val="0"/>
          <w:sz w:val="32"/>
          <w:szCs w:val="32"/>
        </w:rPr>
        <w:t>单位名称：</w:t>
      </w:r>
      <w:r>
        <w:rPr>
          <w:rFonts w:hint="eastAsia" w:ascii="仿宋_GB2312" w:hAnsi="宋体" w:eastAsia="仿宋_GB2312"/>
          <w:sz w:val="32"/>
          <w:szCs w:val="32"/>
        </w:rPr>
        <w:t>山东钢铁股份有限公司</w:t>
      </w:r>
    </w:p>
    <w:p w14:paraId="110DFB49">
      <w:pPr>
        <w:keepNext w:val="0"/>
        <w:keepLines w:val="0"/>
        <w:pageBreakBefore w:val="0"/>
        <w:widowControl/>
        <w:kinsoku/>
        <w:wordWrap/>
        <w:overflowPunct/>
        <w:topLinePunct w:val="0"/>
        <w:bidi w:val="0"/>
        <w:adjustRightInd w:val="0"/>
        <w:snapToGrid w:val="0"/>
        <w:spacing w:line="560" w:lineRule="exact"/>
        <w:ind w:leftChars="0" w:firstLine="640" w:firstLineChars="200"/>
        <w:rPr>
          <w:rFonts w:ascii="黑体" w:hAnsi="黑体" w:eastAsia="黑体" w:cs="宋体"/>
          <w:sz w:val="32"/>
          <w:szCs w:val="32"/>
        </w:rPr>
      </w:pPr>
      <w:r>
        <w:rPr>
          <w:rFonts w:hint="eastAsia" w:ascii="黑体" w:hAnsi="黑体" w:eastAsia="黑体" w:cs="宋体"/>
          <w:kern w:val="0"/>
          <w:sz w:val="32"/>
          <w:szCs w:val="32"/>
          <w:lang w:val="en-US" w:eastAsia="zh-CN" w:bidi="ar-SA"/>
        </w:rPr>
        <w:t>二、</w:t>
      </w:r>
      <w:r>
        <w:rPr>
          <w:rFonts w:hint="eastAsia" w:ascii="黑体" w:hAnsi="黑体" w:eastAsia="黑体" w:cs="宋体"/>
          <w:sz w:val="32"/>
          <w:szCs w:val="32"/>
        </w:rPr>
        <w:t>项目说明</w:t>
      </w:r>
    </w:p>
    <w:p w14:paraId="4832688A">
      <w:pPr>
        <w:pStyle w:val="7"/>
        <w:keepNext w:val="0"/>
        <w:keepLines w:val="0"/>
        <w:pageBreakBefore w:val="0"/>
        <w:numPr>
          <w:ilvl w:val="0"/>
          <w:numId w:val="1"/>
        </w:numPr>
        <w:kinsoku/>
        <w:wordWrap/>
        <w:overflowPunct/>
        <w:topLinePunct w:val="0"/>
        <w:bidi w:val="0"/>
        <w:spacing w:line="560" w:lineRule="exact"/>
        <w:ind w:left="0" w:leftChars="0" w:firstLine="640" w:firstLineChars="200"/>
        <w:rPr>
          <w:rFonts w:ascii="仿宋_GB2312" w:eastAsia="仿宋_GB2312"/>
          <w:bCs/>
          <w:sz w:val="32"/>
          <w:szCs w:val="32"/>
        </w:rPr>
      </w:pPr>
      <w:r>
        <w:rPr>
          <w:rFonts w:hint="eastAsia" w:ascii="楷体" w:hAnsi="楷体" w:eastAsia="楷体" w:cs="楷体"/>
          <w:sz w:val="32"/>
          <w:szCs w:val="32"/>
        </w:rPr>
        <w:t>招标名称：</w:t>
      </w:r>
      <w:r>
        <w:rPr>
          <w:rFonts w:hint="eastAsia" w:ascii="仿宋_GB2312" w:hAnsi="宋体" w:eastAsia="仿宋_GB2312"/>
          <w:sz w:val="32"/>
          <w:szCs w:val="32"/>
        </w:rPr>
        <w:t>山东钢铁股份有限公司</w:t>
      </w:r>
      <w:r>
        <w:rPr>
          <w:rFonts w:hint="eastAsia" w:ascii="仿宋_GB2312" w:hAnsi="宋体" w:eastAsia="仿宋_GB2312"/>
          <w:sz w:val="32"/>
          <w:szCs w:val="32"/>
          <w:lang w:val="en-US" w:eastAsia="zh-CN"/>
        </w:rPr>
        <w:t>炼钢厂</w:t>
      </w:r>
      <w:r>
        <w:rPr>
          <w:rFonts w:hint="eastAsia" w:ascii="仿宋_GB2312" w:eastAsia="仿宋_GB2312"/>
          <w:bCs/>
          <w:sz w:val="32"/>
          <w:szCs w:val="32"/>
        </w:rPr>
        <w:t>废、渣钢切割外委承包</w:t>
      </w:r>
    </w:p>
    <w:p w14:paraId="0E1F5AD2">
      <w:pPr>
        <w:pStyle w:val="7"/>
        <w:keepNext w:val="0"/>
        <w:keepLines w:val="0"/>
        <w:pageBreakBefore w:val="0"/>
        <w:numPr>
          <w:ilvl w:val="0"/>
          <w:numId w:val="1"/>
        </w:numPr>
        <w:kinsoku/>
        <w:wordWrap/>
        <w:overflowPunct/>
        <w:topLinePunct w:val="0"/>
        <w:bidi w:val="0"/>
        <w:spacing w:line="560" w:lineRule="exact"/>
        <w:ind w:left="0" w:leftChars="0" w:firstLine="640" w:firstLineChars="200"/>
        <w:rPr>
          <w:rFonts w:ascii="仿宋_GB2312" w:eastAsia="仿宋_GB2312"/>
          <w:bCs/>
          <w:sz w:val="32"/>
          <w:szCs w:val="32"/>
        </w:rPr>
      </w:pPr>
      <w:r>
        <w:rPr>
          <w:rFonts w:hint="eastAsia" w:ascii="楷体" w:hAnsi="楷体" w:eastAsia="楷体" w:cs="楷体"/>
          <w:sz w:val="32"/>
          <w:szCs w:val="32"/>
        </w:rPr>
        <w:t>招标方式：</w:t>
      </w:r>
      <w:r>
        <w:rPr>
          <w:rFonts w:hint="eastAsia" w:ascii="仿宋_GB2312" w:hAnsi="宋体" w:eastAsia="仿宋_GB2312"/>
          <w:sz w:val="32"/>
          <w:szCs w:val="32"/>
        </w:rPr>
        <w:t>公开招标</w:t>
      </w:r>
    </w:p>
    <w:p w14:paraId="353406CB">
      <w:pPr>
        <w:pStyle w:val="7"/>
        <w:keepNext w:val="0"/>
        <w:keepLines w:val="0"/>
        <w:pageBreakBefore w:val="0"/>
        <w:numPr>
          <w:ilvl w:val="0"/>
          <w:numId w:val="1"/>
        </w:numPr>
        <w:kinsoku/>
        <w:wordWrap/>
        <w:overflowPunct/>
        <w:topLinePunct w:val="0"/>
        <w:bidi w:val="0"/>
        <w:spacing w:line="560" w:lineRule="exact"/>
        <w:ind w:left="0" w:leftChars="0" w:firstLine="640" w:firstLineChars="200"/>
        <w:rPr>
          <w:rFonts w:ascii="仿宋_GB2312" w:eastAsia="仿宋_GB2312"/>
          <w:bCs/>
          <w:sz w:val="32"/>
          <w:szCs w:val="32"/>
          <w:highlight w:val="none"/>
        </w:rPr>
      </w:pPr>
      <w:r>
        <w:rPr>
          <w:rFonts w:hint="eastAsia" w:ascii="楷体" w:hAnsi="楷体" w:eastAsia="楷体" w:cs="楷体"/>
          <w:sz w:val="32"/>
          <w:szCs w:val="32"/>
          <w:highlight w:val="none"/>
        </w:rPr>
        <w:t>招标内容：</w:t>
      </w:r>
      <w:r>
        <w:rPr>
          <w:rFonts w:hint="eastAsia" w:ascii="仿宋_GB2312" w:eastAsia="仿宋_GB2312"/>
          <w:bCs/>
          <w:sz w:val="32"/>
          <w:szCs w:val="32"/>
          <w:highlight w:val="none"/>
        </w:rPr>
        <w:t>新动区、型钢区</w:t>
      </w:r>
      <w:r>
        <w:rPr>
          <w:rFonts w:hint="eastAsia" w:ascii="仿宋_GB2312" w:eastAsia="仿宋_GB2312"/>
          <w:bCs/>
          <w:sz w:val="32"/>
          <w:szCs w:val="32"/>
          <w:highlight w:val="none"/>
          <w:lang w:val="en-US" w:eastAsia="zh-CN"/>
        </w:rPr>
        <w:t>废渣钢</w:t>
      </w:r>
      <w:r>
        <w:rPr>
          <w:rFonts w:hint="eastAsia" w:ascii="仿宋_GB2312" w:eastAsia="仿宋_GB2312"/>
          <w:bCs/>
          <w:sz w:val="32"/>
          <w:szCs w:val="32"/>
          <w:highlight w:val="none"/>
        </w:rPr>
        <w:t>（</w:t>
      </w:r>
      <w:r>
        <w:rPr>
          <w:rFonts w:hint="eastAsia" w:ascii="仿宋_GB2312" w:hAnsi="仿宋_GB2312" w:eastAsia="仿宋_GB2312" w:cs="仿宋_GB2312"/>
          <w:sz w:val="32"/>
          <w:szCs w:val="32"/>
          <w:highlight w:val="none"/>
        </w:rPr>
        <w:t>包括</w:t>
      </w:r>
      <w:r>
        <w:rPr>
          <w:rFonts w:hint="eastAsia" w:ascii="仿宋_GB2312" w:hAnsi="仿宋_GB2312" w:eastAsia="仿宋_GB2312" w:cs="仿宋_GB2312"/>
          <w:sz w:val="32"/>
          <w:szCs w:val="32"/>
          <w:highlight w:val="none"/>
          <w:lang w:val="en-US" w:eastAsia="zh-CN"/>
        </w:rPr>
        <w:t>钢包铸余、</w:t>
      </w:r>
      <w:r>
        <w:rPr>
          <w:rFonts w:hint="eastAsia" w:ascii="仿宋_GB2312" w:hAnsi="仿宋_GB2312" w:eastAsia="仿宋_GB2312" w:cs="仿宋_GB2312"/>
          <w:sz w:val="32"/>
          <w:szCs w:val="32"/>
          <w:highlight w:val="none"/>
        </w:rPr>
        <w:t>中间</w:t>
      </w:r>
      <w:r>
        <w:rPr>
          <w:rFonts w:hint="eastAsia" w:ascii="仿宋_GB2312" w:hAnsi="仿宋_GB2312" w:eastAsia="仿宋_GB2312" w:cs="仿宋_GB2312"/>
          <w:sz w:val="32"/>
          <w:szCs w:val="32"/>
          <w:highlight w:val="none"/>
          <w:lang w:val="en-US" w:eastAsia="zh-CN"/>
        </w:rPr>
        <w:t>铸</w:t>
      </w:r>
      <w:r>
        <w:rPr>
          <w:rFonts w:hint="eastAsia" w:ascii="仿宋_GB2312" w:hAnsi="仿宋_GB2312" w:eastAsia="仿宋_GB2312" w:cs="仿宋_GB2312"/>
          <w:sz w:val="32"/>
          <w:szCs w:val="32"/>
          <w:highlight w:val="none"/>
        </w:rPr>
        <w:t>余、坨钢、中间包稳流器渣钢、</w:t>
      </w:r>
      <w:r>
        <w:rPr>
          <w:rFonts w:hint="eastAsia" w:ascii="仿宋_GB2312" w:hAnsi="仿宋_GB2312" w:eastAsia="仿宋_GB2312" w:cs="仿宋_GB2312"/>
          <w:sz w:val="32"/>
          <w:szCs w:val="32"/>
          <w:highlight w:val="none"/>
          <w:lang w:val="en-US" w:eastAsia="zh-CN"/>
        </w:rPr>
        <w:t>炉口渣钢、</w:t>
      </w:r>
      <w:r>
        <w:rPr>
          <w:rFonts w:hint="eastAsia" w:ascii="仿宋_GB2312" w:hAnsi="仿宋_GB2312" w:eastAsia="仿宋_GB2312" w:cs="仿宋_GB2312"/>
          <w:sz w:val="32"/>
          <w:szCs w:val="32"/>
          <w:highlight w:val="none"/>
        </w:rPr>
        <w:t>罐铁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废坯、轧</w:t>
      </w:r>
      <w:r>
        <w:rPr>
          <w:rFonts w:hint="eastAsia" w:ascii="仿宋_GB2312" w:hAnsi="仿宋_GB2312" w:eastAsia="仿宋_GB2312" w:cs="仿宋_GB2312"/>
          <w:sz w:val="32"/>
          <w:szCs w:val="32"/>
          <w:highlight w:val="none"/>
          <w:lang w:val="en-US" w:eastAsia="zh-CN"/>
        </w:rPr>
        <w:t>线产</w:t>
      </w:r>
      <w:r>
        <w:rPr>
          <w:rFonts w:hint="eastAsia" w:ascii="仿宋_GB2312" w:hAnsi="仿宋_GB2312" w:eastAsia="仿宋_GB2312" w:cs="仿宋_GB2312"/>
          <w:sz w:val="32"/>
          <w:szCs w:val="32"/>
          <w:highlight w:val="none"/>
        </w:rPr>
        <w:t>废、大尺寸设备废钢等）</w:t>
      </w:r>
      <w:r>
        <w:rPr>
          <w:rFonts w:hint="eastAsia" w:ascii="仿宋_GB2312" w:eastAsia="仿宋_GB2312"/>
          <w:bCs/>
          <w:sz w:val="32"/>
          <w:szCs w:val="32"/>
          <w:highlight w:val="none"/>
        </w:rPr>
        <w:t>切割</w:t>
      </w: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lang w:val="en-US" w:eastAsia="zh-CN"/>
        </w:rPr>
        <w:t>特钢区</w:t>
      </w:r>
      <w:r>
        <w:rPr>
          <w:rFonts w:hint="eastAsia" w:ascii="仿宋_GB2312" w:hAnsi="仿宋_GB2312" w:eastAsia="仿宋_GB2312" w:cs="仿宋_GB2312"/>
          <w:sz w:val="32"/>
          <w:szCs w:val="32"/>
          <w:highlight w:val="none"/>
        </w:rPr>
        <w:t>废钢（包括中间</w:t>
      </w:r>
      <w:r>
        <w:rPr>
          <w:rFonts w:hint="eastAsia" w:ascii="仿宋_GB2312" w:hAnsi="仿宋_GB2312" w:eastAsia="仿宋_GB2312" w:cs="仿宋_GB2312"/>
          <w:sz w:val="32"/>
          <w:szCs w:val="32"/>
          <w:highlight w:val="none"/>
          <w:lang w:val="en-US" w:eastAsia="zh-CN"/>
        </w:rPr>
        <w:t>铸</w:t>
      </w:r>
      <w:r>
        <w:rPr>
          <w:rFonts w:hint="eastAsia" w:ascii="仿宋_GB2312" w:hAnsi="仿宋_GB2312" w:eastAsia="仿宋_GB2312" w:cs="仿宋_GB2312"/>
          <w:sz w:val="32"/>
          <w:szCs w:val="32"/>
          <w:highlight w:val="none"/>
        </w:rPr>
        <w:t>余、坨钢、中间包稳流器渣钢、</w:t>
      </w:r>
      <w:r>
        <w:rPr>
          <w:rFonts w:hint="eastAsia" w:ascii="仿宋_GB2312" w:hAnsi="仿宋_GB2312" w:eastAsia="仿宋_GB2312" w:cs="仿宋_GB2312"/>
          <w:sz w:val="32"/>
          <w:szCs w:val="32"/>
          <w:highlight w:val="none"/>
          <w:lang w:val="en-US" w:eastAsia="zh-CN"/>
        </w:rPr>
        <w:t>炉口渣钢、</w:t>
      </w:r>
      <w:r>
        <w:rPr>
          <w:rFonts w:hint="eastAsia" w:ascii="仿宋_GB2312" w:hAnsi="仿宋_GB2312" w:eastAsia="仿宋_GB2312" w:cs="仿宋_GB2312"/>
          <w:sz w:val="32"/>
          <w:szCs w:val="32"/>
          <w:highlight w:val="none"/>
        </w:rPr>
        <w:t>罐铁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废坯、轧</w:t>
      </w:r>
      <w:r>
        <w:rPr>
          <w:rFonts w:hint="eastAsia" w:ascii="仿宋_GB2312" w:hAnsi="仿宋_GB2312" w:eastAsia="仿宋_GB2312" w:cs="仿宋_GB2312"/>
          <w:sz w:val="32"/>
          <w:szCs w:val="32"/>
          <w:highlight w:val="none"/>
          <w:lang w:val="en-US" w:eastAsia="zh-CN"/>
        </w:rPr>
        <w:t>线产</w:t>
      </w:r>
      <w:r>
        <w:rPr>
          <w:rFonts w:hint="eastAsia" w:ascii="仿宋_GB2312" w:hAnsi="仿宋_GB2312" w:eastAsia="仿宋_GB2312" w:cs="仿宋_GB2312"/>
          <w:sz w:val="32"/>
          <w:szCs w:val="32"/>
          <w:highlight w:val="none"/>
        </w:rPr>
        <w:t>废、大尺寸设备废钢等）、渣钢（包括</w:t>
      </w:r>
      <w:r>
        <w:rPr>
          <w:rFonts w:hint="eastAsia" w:ascii="仿宋_GB2312" w:hAnsi="仿宋_GB2312" w:eastAsia="仿宋_GB2312" w:cs="仿宋_GB2312"/>
          <w:sz w:val="32"/>
          <w:szCs w:val="32"/>
          <w:highlight w:val="none"/>
          <w:lang w:val="en-US" w:eastAsia="zh-CN"/>
        </w:rPr>
        <w:t>钢包铸余</w:t>
      </w:r>
      <w:r>
        <w:rPr>
          <w:rFonts w:hint="eastAsia" w:ascii="仿宋_GB2312" w:hAnsi="仿宋_GB2312" w:eastAsia="仿宋_GB2312" w:cs="仿宋_GB2312"/>
          <w:sz w:val="32"/>
          <w:szCs w:val="32"/>
          <w:highlight w:val="none"/>
        </w:rPr>
        <w:t>等）切割。</w:t>
      </w:r>
    </w:p>
    <w:p w14:paraId="59F4623F">
      <w:pPr>
        <w:pStyle w:val="7"/>
        <w:keepNext w:val="0"/>
        <w:keepLines w:val="0"/>
        <w:pageBreakBefore w:val="0"/>
        <w:numPr>
          <w:ilvl w:val="0"/>
          <w:numId w:val="1"/>
        </w:numPr>
        <w:kinsoku/>
        <w:wordWrap/>
        <w:overflowPunct/>
        <w:topLinePunct w:val="0"/>
        <w:bidi w:val="0"/>
        <w:spacing w:line="560" w:lineRule="exact"/>
        <w:ind w:left="0" w:leftChars="0" w:firstLine="640" w:firstLineChars="200"/>
        <w:rPr>
          <w:rFonts w:ascii="仿宋_GB2312" w:eastAsia="仿宋_GB2312"/>
          <w:bCs/>
          <w:sz w:val="32"/>
          <w:szCs w:val="32"/>
        </w:rPr>
      </w:pPr>
      <w:r>
        <w:rPr>
          <w:rFonts w:hint="eastAsia" w:ascii="楷体_GB2312" w:hAnsi="黑体" w:eastAsia="楷体_GB2312"/>
          <w:sz w:val="32"/>
          <w:szCs w:val="32"/>
        </w:rPr>
        <w:t>业务资源量：</w:t>
      </w:r>
      <w:r>
        <w:rPr>
          <w:rFonts w:hint="eastAsia" w:ascii="仿宋_GB2312" w:hAnsi="宋体" w:eastAsia="仿宋_GB2312"/>
          <w:sz w:val="32"/>
          <w:szCs w:val="32"/>
        </w:rPr>
        <w:t>具体业务数量根据招标人生产计划确定，以实际发生量（过磅单）为准。</w:t>
      </w:r>
    </w:p>
    <w:p w14:paraId="58DCC773">
      <w:pPr>
        <w:pStyle w:val="7"/>
        <w:keepNext w:val="0"/>
        <w:keepLines w:val="0"/>
        <w:pageBreakBefore w:val="0"/>
        <w:numPr>
          <w:ilvl w:val="0"/>
          <w:numId w:val="1"/>
        </w:numPr>
        <w:kinsoku/>
        <w:wordWrap/>
        <w:overflowPunct/>
        <w:topLinePunct w:val="0"/>
        <w:bidi w:val="0"/>
        <w:spacing w:line="560" w:lineRule="exact"/>
        <w:ind w:left="0" w:leftChars="0" w:firstLine="640" w:firstLineChars="200"/>
        <w:rPr>
          <w:rFonts w:ascii="仿宋_GB2312" w:eastAsia="仿宋_GB2312"/>
          <w:bCs/>
          <w:sz w:val="32"/>
          <w:szCs w:val="32"/>
        </w:rPr>
      </w:pPr>
      <w:r>
        <w:rPr>
          <w:rFonts w:hint="eastAsia" w:ascii="楷体_GB2312" w:hAnsi="黑体" w:eastAsia="楷体_GB2312"/>
          <w:sz w:val="32"/>
          <w:szCs w:val="32"/>
        </w:rPr>
        <w:t>结算方式：</w:t>
      </w:r>
      <w:r>
        <w:rPr>
          <w:rFonts w:hint="eastAsia" w:ascii="仿宋_GB2312" w:hAnsi="宋体" w:eastAsia="仿宋_GB2312"/>
          <w:sz w:val="32"/>
          <w:szCs w:val="32"/>
        </w:rPr>
        <w:t>按照加工合格后的计量磅单量结算，</w:t>
      </w:r>
      <w:r>
        <w:rPr>
          <w:rFonts w:hint="eastAsia" w:ascii="仿宋_GB2312" w:hAnsi="宋体" w:eastAsia="仿宋_GB2312" w:cs="宋体"/>
          <w:color w:val="000000"/>
          <w:sz w:val="32"/>
          <w:szCs w:val="32"/>
        </w:rPr>
        <w:t>结算额=磅单量×单价，每月度进行结算。</w:t>
      </w:r>
    </w:p>
    <w:p w14:paraId="3973AECF">
      <w:pPr>
        <w:pStyle w:val="7"/>
        <w:keepNext w:val="0"/>
        <w:keepLines w:val="0"/>
        <w:pageBreakBefore w:val="0"/>
        <w:numPr>
          <w:ilvl w:val="0"/>
          <w:numId w:val="1"/>
        </w:numPr>
        <w:kinsoku/>
        <w:wordWrap/>
        <w:overflowPunct/>
        <w:topLinePunct w:val="0"/>
        <w:bidi w:val="0"/>
        <w:spacing w:line="560" w:lineRule="exact"/>
        <w:ind w:left="0" w:leftChars="0" w:firstLine="640" w:firstLineChars="200"/>
        <w:rPr>
          <w:rFonts w:ascii="黑体" w:hAnsi="黑体" w:eastAsia="黑体" w:cs="宋体"/>
          <w:sz w:val="32"/>
          <w:szCs w:val="32"/>
        </w:rPr>
      </w:pPr>
      <w:r>
        <w:rPr>
          <w:rFonts w:hint="eastAsia" w:ascii="楷体" w:hAnsi="楷体" w:eastAsia="楷体" w:cs="楷体"/>
          <w:sz w:val="32"/>
          <w:szCs w:val="32"/>
        </w:rPr>
        <w:t>项目周期：</w:t>
      </w:r>
      <w:r>
        <w:rPr>
          <w:rFonts w:hint="eastAsia" w:ascii="仿宋_GB2312" w:hAnsi="仿宋_GB2312" w:eastAsia="仿宋_GB2312" w:cs="仿宋_GB2312"/>
          <w:color w:val="auto"/>
          <w:sz w:val="32"/>
          <w:szCs w:val="32"/>
          <w:lang w:val="en-US" w:eastAsia="zh-CN"/>
        </w:rPr>
        <w:t>2026年1月1日至2027年6月30</w:t>
      </w:r>
      <w:r>
        <w:rPr>
          <w:rFonts w:hint="eastAsia" w:ascii="仿宋_GB2312" w:hAnsi="仿宋_GB2312" w:eastAsia="仿宋_GB2312" w:cs="仿宋_GB2312"/>
          <w:sz w:val="32"/>
          <w:szCs w:val="32"/>
          <w:lang w:val="en-US" w:eastAsia="zh-CN"/>
        </w:rPr>
        <w:t>日</w:t>
      </w:r>
      <w:r>
        <w:rPr>
          <w:rFonts w:hint="eastAsia" w:ascii="仿宋_GB2312" w:hAnsi="宋体" w:eastAsia="仿宋_GB2312"/>
          <w:sz w:val="32"/>
          <w:szCs w:val="32"/>
        </w:rPr>
        <w:t>。</w:t>
      </w:r>
      <w:r>
        <w:rPr>
          <w:rFonts w:hint="eastAsia" w:ascii="仿宋_GB2312" w:hAnsi="宋体" w:eastAsia="仿宋_GB2312"/>
          <w:sz w:val="32"/>
          <w:szCs w:val="32"/>
          <w:u w:val="none"/>
          <w:lang w:val="en-US" w:eastAsia="zh-CN"/>
        </w:rPr>
        <w:t>如遇公司政策调整及其他特殊情况，经双方协商后可以提前终止或延续合同周期。</w:t>
      </w:r>
    </w:p>
    <w:p w14:paraId="42D69DF1">
      <w:pPr>
        <w:keepNext w:val="0"/>
        <w:keepLines w:val="0"/>
        <w:pageBreakBefore w:val="0"/>
        <w:widowControl/>
        <w:kinsoku/>
        <w:wordWrap/>
        <w:overflowPunct/>
        <w:topLinePunct w:val="0"/>
        <w:bidi w:val="0"/>
        <w:spacing w:line="560" w:lineRule="exact"/>
        <w:ind w:leftChars="0"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u w:val="none"/>
          <w:lang w:val="en-US" w:eastAsia="zh-CN"/>
        </w:rPr>
        <w:t>三.</w:t>
      </w:r>
      <w:r>
        <w:rPr>
          <w:rFonts w:hint="eastAsia" w:ascii="黑体" w:hAnsi="黑体" w:eastAsia="黑体" w:cs="宋体"/>
          <w:color w:val="auto"/>
          <w:kern w:val="0"/>
          <w:sz w:val="32"/>
          <w:szCs w:val="32"/>
        </w:rPr>
        <w:t>投标人资格要求</w:t>
      </w:r>
    </w:p>
    <w:p w14:paraId="2F7A8431">
      <w:pPr>
        <w:keepNext w:val="0"/>
        <w:keepLines w:val="0"/>
        <w:pageBreakBefore w:val="0"/>
        <w:kinsoku/>
        <w:wordWrap/>
        <w:overflowPunct/>
        <w:topLinePunct w:val="0"/>
        <w:bidi w:val="0"/>
        <w:snapToGrid w:val="0"/>
        <w:spacing w:line="560" w:lineRule="exact"/>
        <w:ind w:leftChars="0" w:firstLine="640" w:firstLineChars="200"/>
        <w:jc w:val="both"/>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本次招标资格审查采取网上报名，网上审核方式，投标人在山东钢铁集团有限公司范围内出现中标后弃标、不履约合同或被列入不合格供应商、淘汰供应商名单（淘汰时间范围内），一票否决；投标人不符合以下条件的，资格审查将被否决（已注明否决项），不再进入下一阶段的评标。</w:t>
      </w:r>
    </w:p>
    <w:p w14:paraId="6621FB6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rPr>
        <w:t>本项目投标单位具备以下条件</w:t>
      </w:r>
      <w:r>
        <w:rPr>
          <w:rFonts w:hint="eastAsia" w:ascii="仿宋_GB2312" w:hAnsi="Times New Roman" w:eastAsia="仿宋_GB2312" w:cs="Times New Roman"/>
          <w:color w:val="auto"/>
          <w:sz w:val="32"/>
          <w:szCs w:val="32"/>
          <w:lang w:eastAsia="zh-CN"/>
        </w:rPr>
        <w:t>：</w:t>
      </w:r>
    </w:p>
    <w:p w14:paraId="0BE16AEC">
      <w:pPr>
        <w:keepNext w:val="0"/>
        <w:keepLines w:val="0"/>
        <w:pageBreakBefore w:val="0"/>
        <w:kinsoku/>
        <w:wordWrap/>
        <w:overflowPunct/>
        <w:topLinePunct w:val="0"/>
        <w:bidi w:val="0"/>
        <w:spacing w:line="560" w:lineRule="exact"/>
        <w:ind w:leftChars="0" w:firstLine="640" w:firstLineChars="200"/>
        <w:rPr>
          <w:rFonts w:ascii="仿宋_GB2312" w:hAnsi="宋体" w:eastAsia="仿宋_GB2312"/>
          <w:sz w:val="32"/>
          <w:szCs w:val="32"/>
        </w:rPr>
      </w:pPr>
      <w:bookmarkStart w:id="0" w:name="_GoBack"/>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一）</w:t>
      </w:r>
      <w:r>
        <w:rPr>
          <w:rFonts w:hint="eastAsia" w:ascii="仿宋_GB2312" w:hAnsi="宋体" w:eastAsia="仿宋_GB2312"/>
          <w:sz w:val="32"/>
          <w:szCs w:val="32"/>
        </w:rPr>
        <w:t>符合国家规定行业标准，依法取得工商登记许可证</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具有金属加工、切削、破碎</w:t>
      </w:r>
      <w:r>
        <w:rPr>
          <w:rFonts w:hint="eastAsia" w:ascii="仿宋_GB2312" w:hAnsi="宋体" w:eastAsia="仿宋_GB2312"/>
          <w:sz w:val="32"/>
          <w:szCs w:val="32"/>
        </w:rPr>
        <w:t>等相关资质。</w:t>
      </w:r>
    </w:p>
    <w:p w14:paraId="1FFDA461">
      <w:pPr>
        <w:keepNext w:val="0"/>
        <w:keepLines w:val="0"/>
        <w:pageBreakBefore w:val="0"/>
        <w:kinsoku/>
        <w:wordWrap/>
        <w:overflowPunct/>
        <w:topLinePunct w:val="0"/>
        <w:bidi w:val="0"/>
        <w:spacing w:line="560" w:lineRule="exact"/>
        <w:ind w:leftChars="0" w:firstLine="640" w:firstLineChars="200"/>
        <w:rPr>
          <w:rFonts w:ascii="仿宋_GB2312" w:hAnsi="宋体" w:eastAsia="仿宋_GB2312"/>
          <w:sz w:val="32"/>
          <w:szCs w:val="32"/>
        </w:rPr>
      </w:pPr>
      <w:r>
        <w:rPr>
          <w:rFonts w:hint="eastAsia" w:ascii="仿宋_GB2312" w:hAnsi="宋体" w:eastAsia="仿宋_GB2312"/>
          <w:sz w:val="32"/>
          <w:szCs w:val="32"/>
        </w:rPr>
        <w:t>（二）具有一定资金基础，注册资金不少于100万元。</w:t>
      </w:r>
    </w:p>
    <w:p w14:paraId="59C1ED46">
      <w:pPr>
        <w:keepNext w:val="0"/>
        <w:keepLines w:val="0"/>
        <w:pageBreakBefore w:val="0"/>
        <w:kinsoku/>
        <w:wordWrap/>
        <w:overflowPunct/>
        <w:topLinePunct w:val="0"/>
        <w:bidi w:val="0"/>
        <w:spacing w:line="560" w:lineRule="exact"/>
        <w:ind w:leftChars="0" w:firstLine="640" w:firstLineChars="200"/>
        <w:rPr>
          <w:rFonts w:ascii="仿宋_GB2312" w:hAnsi="宋体" w:eastAsia="仿宋_GB2312"/>
          <w:sz w:val="32"/>
          <w:szCs w:val="32"/>
        </w:rPr>
      </w:pPr>
      <w:r>
        <w:rPr>
          <w:rFonts w:hint="eastAsia" w:ascii="仿宋_GB2312" w:hAnsi="宋体" w:eastAsia="仿宋_GB2312"/>
          <w:sz w:val="32"/>
          <w:szCs w:val="32"/>
        </w:rPr>
        <w:t>（三）具有满足相关业务需要的足量资源，能保证日常业务和应急任务开展。</w:t>
      </w:r>
    </w:p>
    <w:p w14:paraId="7C73F742">
      <w:pPr>
        <w:keepNext w:val="0"/>
        <w:keepLines w:val="0"/>
        <w:pageBreakBefore w:val="0"/>
        <w:kinsoku/>
        <w:wordWrap/>
        <w:overflowPunct/>
        <w:topLinePunct w:val="0"/>
        <w:bidi w:val="0"/>
        <w:spacing w:line="560" w:lineRule="exact"/>
        <w:ind w:leftChars="0" w:firstLine="640" w:firstLineChars="200"/>
        <w:rPr>
          <w:rFonts w:ascii="仿宋_GB2312" w:hAnsi="宋体" w:eastAsia="仿宋_GB2312"/>
          <w:sz w:val="32"/>
          <w:szCs w:val="32"/>
        </w:rPr>
      </w:pPr>
      <w:r>
        <w:rPr>
          <w:rFonts w:hint="eastAsia" w:ascii="仿宋_GB2312" w:hAnsi="宋体" w:eastAsia="仿宋_GB2312"/>
          <w:sz w:val="32"/>
          <w:szCs w:val="32"/>
        </w:rPr>
        <w:t>（四）</w:t>
      </w:r>
      <w:r>
        <w:rPr>
          <w:rFonts w:hint="eastAsia" w:ascii="仿宋_GB2312" w:hAnsi="宋体" w:eastAsia="仿宋_GB2312" w:cs="Times New Roman"/>
          <w:sz w:val="32"/>
          <w:szCs w:val="32"/>
        </w:rPr>
        <w:t>具有良好的经营行为</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国家官网查询截图）</w:t>
      </w:r>
      <w:r>
        <w:rPr>
          <w:rFonts w:hint="eastAsia" w:ascii="仿宋_GB2312" w:hAnsi="宋体" w:eastAsia="仿宋_GB2312" w:cs="Times New Roman"/>
          <w:sz w:val="32"/>
          <w:szCs w:val="32"/>
        </w:rPr>
        <w:t>和业绩</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相似业务合同）</w:t>
      </w:r>
      <w:r>
        <w:rPr>
          <w:rFonts w:hint="eastAsia" w:ascii="仿宋_GB2312" w:hAnsi="宋体" w:eastAsia="仿宋_GB2312" w:cs="Times New Roman"/>
          <w:sz w:val="32"/>
          <w:szCs w:val="32"/>
        </w:rPr>
        <w:t>。</w:t>
      </w:r>
    </w:p>
    <w:p w14:paraId="0B19E158">
      <w:pPr>
        <w:keepNext w:val="0"/>
        <w:keepLines w:val="0"/>
        <w:pageBreakBefore w:val="0"/>
        <w:kinsoku/>
        <w:wordWrap/>
        <w:overflowPunct/>
        <w:topLinePunct w:val="0"/>
        <w:autoSpaceDE w:val="0"/>
        <w:autoSpaceDN w:val="0"/>
        <w:bidi w:val="0"/>
        <w:adjustRightInd w:val="0"/>
        <w:spacing w:line="560" w:lineRule="exact"/>
        <w:ind w:leftChars="0" w:firstLine="640" w:firstLineChars="200"/>
        <w:textAlignment w:val="center"/>
        <w:rPr>
          <w:rFonts w:hint="default" w:ascii="仿宋_GB2312" w:hAnsi="宋体" w:eastAsia="仿宋_GB2312" w:cs="宋体"/>
          <w:color w:val="000000"/>
          <w:sz w:val="32"/>
          <w:szCs w:val="32"/>
          <w:lang w:val="en-US" w:eastAsia="zh-CN"/>
        </w:rPr>
      </w:pPr>
      <w:r>
        <w:rPr>
          <w:rFonts w:hint="eastAsia" w:ascii="仿宋_GB2312" w:hAnsi="宋体" w:eastAsia="仿宋_GB2312"/>
          <w:sz w:val="32"/>
          <w:szCs w:val="32"/>
        </w:rPr>
        <w:t>（五）</w:t>
      </w:r>
      <w:r>
        <w:rPr>
          <w:rFonts w:hint="eastAsia" w:ascii="仿宋_GB2312" w:hAnsi="宋体" w:eastAsia="仿宋_GB2312"/>
          <w:sz w:val="32"/>
          <w:szCs w:val="32"/>
          <w:lang w:val="en-US" w:eastAsia="zh-CN"/>
        </w:rPr>
        <w:t>上述证明材料编辑资格审查文件（营业执照、国家官网查询信誉证明截图、相似业务合同等）上传至招标平台。</w:t>
      </w:r>
    </w:p>
    <w:bookmarkEnd w:id="0"/>
    <w:p w14:paraId="6911BCC0">
      <w:pPr>
        <w:pStyle w:val="4"/>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ascii="黑体" w:hAnsi="黑体" w:eastAsia="黑体" w:cs="宋体"/>
          <w:sz w:val="32"/>
          <w:szCs w:val="32"/>
        </w:rPr>
      </w:pPr>
      <w:r>
        <w:rPr>
          <w:rFonts w:hint="eastAsia" w:ascii="黑体" w:hAnsi="黑体" w:eastAsia="黑体" w:cs="宋体"/>
          <w:sz w:val="32"/>
          <w:szCs w:val="32"/>
          <w:lang w:val="en-US" w:eastAsia="zh-CN"/>
        </w:rPr>
        <w:t>四.</w:t>
      </w:r>
      <w:r>
        <w:rPr>
          <w:rFonts w:hint="eastAsia" w:ascii="黑体" w:hAnsi="黑体" w:eastAsia="黑体" w:cs="宋体"/>
          <w:sz w:val="32"/>
          <w:szCs w:val="32"/>
        </w:rPr>
        <w:t>投标人须知</w:t>
      </w:r>
    </w:p>
    <w:p w14:paraId="261A36A7">
      <w:pPr>
        <w:keepNext w:val="0"/>
        <w:keepLines w:val="0"/>
        <w:pageBreakBefore w:val="0"/>
        <w:widowControl/>
        <w:kinsoku/>
        <w:wordWrap/>
        <w:overflowPunct/>
        <w:topLinePunct w:val="0"/>
        <w:bidi w:val="0"/>
        <w:spacing w:line="560" w:lineRule="exact"/>
        <w:ind w:leftChars="0" w:firstLine="640"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 xml:space="preserve">（一） </w:t>
      </w:r>
      <w:r>
        <w:rPr>
          <w:rFonts w:hint="eastAsia" w:ascii="仿宋_GB2312" w:hAnsi="Times New Roman" w:eastAsia="仿宋_GB2312" w:cs="Times New Roman"/>
          <w:color w:val="auto"/>
          <w:sz w:val="32"/>
          <w:szCs w:val="32"/>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法人身份证复印件,营业执照、企业资质、以及相关业绩证明等原件扫描件。</w:t>
      </w:r>
    </w:p>
    <w:p w14:paraId="4945CFFB">
      <w:pPr>
        <w:keepNext w:val="0"/>
        <w:keepLines w:val="0"/>
        <w:pageBreakBefore w:val="0"/>
        <w:numPr>
          <w:ilvl w:val="0"/>
          <w:numId w:val="0"/>
        </w:numPr>
        <w:kinsoku/>
        <w:wordWrap/>
        <w:overflowPunct/>
        <w:topLinePunct w:val="0"/>
        <w:bidi w:val="0"/>
        <w:spacing w:line="560" w:lineRule="exact"/>
        <w:ind w:leftChars="0" w:firstLine="640" w:firstLineChars="200"/>
        <w:rPr>
          <w:rFonts w:ascii="仿宋_GB2312" w:hAnsi="宋体" w:eastAsia="仿宋_GB2312"/>
          <w:color w:val="000000"/>
          <w:kern w:val="0"/>
          <w:sz w:val="32"/>
          <w:szCs w:val="32"/>
        </w:rPr>
      </w:pP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二）</w:t>
      </w:r>
      <w:r>
        <w:rPr>
          <w:rFonts w:hint="eastAsia" w:ascii="仿宋_GB2312" w:hAnsi="仿宋_GB2312" w:eastAsia="仿宋_GB2312" w:cs="仿宋_GB2312"/>
          <w:sz w:val="32"/>
          <w:szCs w:val="32"/>
        </w:rPr>
        <w:t>本项目所使用设备设施必须符合招标人的安全环保要求，遵守招标人环境管理体系要求和国家有关环境保护法律法规，要满足国家及地方相关环保要求，杜绝各类影响环境的问题出现，不得造成二次污染。</w:t>
      </w:r>
    </w:p>
    <w:p w14:paraId="7DA2A68D">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Chars="0" w:firstLine="640" w:firstLineChars="200"/>
        <w:rPr>
          <w:rFonts w:ascii="仿宋_GB2312" w:hAnsi="宋体" w:eastAsia="仿宋_GB2312" w:cs="Arial"/>
          <w:kern w:val="0"/>
          <w:sz w:val="32"/>
          <w:szCs w:val="32"/>
        </w:rPr>
      </w:pPr>
      <w:r>
        <w:rPr>
          <w:rFonts w:hint="eastAsia" w:ascii="仿宋_GB2312" w:hAnsi="宋体" w:eastAsia="仿宋_GB2312"/>
          <w:color w:val="000000"/>
          <w:kern w:val="0"/>
          <w:sz w:val="32"/>
          <w:szCs w:val="32"/>
        </w:rPr>
        <w:t>（三）</w:t>
      </w:r>
      <w:r>
        <w:rPr>
          <w:rFonts w:hint="eastAsia" w:ascii="仿宋_GB2312" w:hAnsi="宋体" w:eastAsia="仿宋_GB2312" w:cs="宋体"/>
          <w:sz w:val="32"/>
          <w:szCs w:val="32"/>
        </w:rPr>
        <w:t>业务承揽要求</w:t>
      </w:r>
      <w:r>
        <w:rPr>
          <w:rFonts w:hint="eastAsia" w:ascii="仿宋_GB2312" w:hAnsi="宋体" w:eastAsia="仿宋_GB2312" w:cs="Arial"/>
          <w:kern w:val="0"/>
          <w:sz w:val="32"/>
          <w:szCs w:val="32"/>
        </w:rPr>
        <w:t>：</w:t>
      </w:r>
    </w:p>
    <w:p w14:paraId="552E09F0">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Chars="0" w:firstLine="640" w:firstLineChars="200"/>
        <w:rPr>
          <w:rFonts w:ascii="仿宋_GB2312" w:hAnsi="宋体" w:eastAsia="仿宋_GB2312" w:cs="Arial"/>
          <w:kern w:val="0"/>
          <w:sz w:val="32"/>
          <w:szCs w:val="32"/>
          <w:highlight w:val="none"/>
        </w:rPr>
      </w:pPr>
      <w:r>
        <w:rPr>
          <w:rFonts w:hint="eastAsia" w:ascii="仿宋_GB2312" w:hAnsi="宋体" w:eastAsia="仿宋_GB2312" w:cs="Arial"/>
          <w:kern w:val="0"/>
          <w:sz w:val="32"/>
          <w:szCs w:val="32"/>
          <w:highlight w:val="none"/>
        </w:rPr>
        <w:t>1</w:t>
      </w:r>
      <w:r>
        <w:rPr>
          <w:rFonts w:hint="eastAsia" w:ascii="仿宋_GB2312" w:hAnsi="宋体" w:eastAsia="仿宋_GB2312" w:cs="Arial"/>
          <w:kern w:val="0"/>
          <w:sz w:val="32"/>
          <w:szCs w:val="32"/>
          <w:highlight w:val="none"/>
          <w:lang w:eastAsia="zh-CN"/>
        </w:rPr>
        <w:t>、</w:t>
      </w:r>
      <w:r>
        <w:rPr>
          <w:rFonts w:hint="eastAsia" w:ascii="仿宋_GB2312" w:hAnsi="宋体" w:eastAsia="仿宋_GB2312" w:cs="Arial"/>
          <w:kern w:val="0"/>
          <w:sz w:val="32"/>
          <w:szCs w:val="32"/>
          <w:highlight w:val="none"/>
        </w:rPr>
        <w:t>遵守</w:t>
      </w:r>
      <w:r>
        <w:rPr>
          <w:rFonts w:hint="eastAsia" w:ascii="仿宋_GB2312" w:hAnsi="宋体" w:eastAsia="仿宋_GB2312" w:cs="Arial"/>
          <w:kern w:val="0"/>
          <w:sz w:val="32"/>
          <w:szCs w:val="32"/>
          <w:highlight w:val="none"/>
          <w:lang w:val="en-US" w:eastAsia="zh-CN"/>
        </w:rPr>
        <w:t>使用单位</w:t>
      </w:r>
      <w:r>
        <w:rPr>
          <w:rFonts w:hint="eastAsia" w:ascii="仿宋_GB2312" w:hAnsi="宋体" w:eastAsia="仿宋_GB2312" w:cs="Arial"/>
          <w:kern w:val="0"/>
          <w:sz w:val="32"/>
          <w:szCs w:val="32"/>
          <w:highlight w:val="none"/>
        </w:rPr>
        <w:t>的各项规章制度。</w:t>
      </w:r>
    </w:p>
    <w:p w14:paraId="56BE886C">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Chars="0" w:firstLine="640" w:firstLineChars="200"/>
        <w:rPr>
          <w:rFonts w:hint="eastAsia" w:ascii="仿宋" w:hAnsi="仿宋" w:eastAsia="仿宋" w:cs="宋体"/>
          <w:sz w:val="32"/>
          <w:szCs w:val="32"/>
          <w:highlight w:val="none"/>
          <w:lang w:eastAsia="zh-CN"/>
        </w:rPr>
      </w:pPr>
      <w:r>
        <w:rPr>
          <w:rFonts w:hint="eastAsia" w:ascii="仿宋_GB2312" w:hAnsi="宋体" w:eastAsia="仿宋_GB2312" w:cs="Arial"/>
          <w:kern w:val="0"/>
          <w:sz w:val="32"/>
          <w:szCs w:val="32"/>
          <w:highlight w:val="none"/>
        </w:rPr>
        <w:t>2</w:t>
      </w:r>
      <w:r>
        <w:rPr>
          <w:rFonts w:hint="eastAsia" w:ascii="仿宋_GB2312" w:hAnsi="宋体" w:eastAsia="仿宋_GB2312" w:cs="Arial"/>
          <w:kern w:val="0"/>
          <w:sz w:val="32"/>
          <w:szCs w:val="32"/>
          <w:highlight w:val="none"/>
          <w:lang w:eastAsia="zh-CN"/>
        </w:rPr>
        <w:t>、</w:t>
      </w:r>
      <w:r>
        <w:rPr>
          <w:rFonts w:hint="eastAsia" w:ascii="仿宋_GB2312" w:hAnsi="宋体" w:eastAsia="仿宋_GB2312" w:cs="Arial"/>
          <w:kern w:val="0"/>
          <w:sz w:val="32"/>
          <w:szCs w:val="32"/>
          <w:highlight w:val="none"/>
        </w:rPr>
        <w:t>由使用单位把好质量关，中标方保质保量</w:t>
      </w:r>
      <w:r>
        <w:rPr>
          <w:rFonts w:hint="eastAsia" w:ascii="仿宋" w:hAnsi="仿宋" w:eastAsia="仿宋" w:cs="宋体"/>
          <w:sz w:val="32"/>
          <w:szCs w:val="32"/>
          <w:highlight w:val="none"/>
        </w:rPr>
        <w:t>将甲方所有不符合入炉要求的废钢（包括自产废钢和外来废钢）、钢（铁）砣、废坯</w:t>
      </w:r>
      <w:r>
        <w:rPr>
          <w:rFonts w:hint="eastAsia" w:ascii="仿宋" w:hAnsi="仿宋" w:eastAsia="仿宋" w:cs="宋体"/>
          <w:sz w:val="32"/>
          <w:szCs w:val="32"/>
          <w:highlight w:val="none"/>
          <w:lang w:eastAsia="zh-CN"/>
        </w:rPr>
        <w:t>、</w:t>
      </w:r>
      <w:r>
        <w:rPr>
          <w:rFonts w:hint="eastAsia" w:ascii="仿宋" w:hAnsi="仿宋" w:eastAsia="仿宋" w:cs="宋体"/>
          <w:sz w:val="32"/>
          <w:szCs w:val="32"/>
          <w:highlight w:val="none"/>
          <w:lang w:val="en-US" w:eastAsia="zh-CN"/>
        </w:rPr>
        <w:t>渣钢</w:t>
      </w:r>
      <w:r>
        <w:rPr>
          <w:rFonts w:hint="eastAsia" w:ascii="仿宋" w:hAnsi="仿宋" w:eastAsia="仿宋" w:cs="宋体"/>
          <w:sz w:val="32"/>
          <w:szCs w:val="32"/>
          <w:highlight w:val="none"/>
        </w:rPr>
        <w:t>等，切割成符合入炉要求的块度</w:t>
      </w:r>
      <w:r>
        <w:rPr>
          <w:rFonts w:hint="eastAsia" w:ascii="仿宋" w:hAnsi="仿宋" w:eastAsia="仿宋" w:cs="宋体"/>
          <w:sz w:val="32"/>
          <w:szCs w:val="32"/>
          <w:highlight w:val="none"/>
          <w:lang w:eastAsia="zh-CN"/>
        </w:rPr>
        <w:t>，</w:t>
      </w:r>
      <w:r>
        <w:rPr>
          <w:rFonts w:hint="eastAsia" w:ascii="仿宋_GB2312" w:hAnsi="仿宋_GB2312" w:eastAsia="仿宋_GB2312" w:cs="仿宋_GB2312"/>
          <w:sz w:val="32"/>
          <w:szCs w:val="32"/>
          <w:highlight w:val="none"/>
        </w:rPr>
        <w:t>否则按照50吨/次扣除加工费</w:t>
      </w:r>
      <w:r>
        <w:rPr>
          <w:rFonts w:hint="eastAsia" w:ascii="仿宋" w:hAnsi="仿宋" w:eastAsia="仿宋" w:cs="宋体"/>
          <w:sz w:val="32"/>
          <w:szCs w:val="32"/>
          <w:highlight w:val="none"/>
        </w:rPr>
        <w:t>。</w:t>
      </w:r>
      <w:r>
        <w:rPr>
          <w:rFonts w:hint="eastAsia" w:ascii="仿宋" w:hAnsi="仿宋" w:eastAsia="仿宋" w:cs="宋体"/>
          <w:sz w:val="32"/>
          <w:szCs w:val="32"/>
          <w:highlight w:val="none"/>
          <w:lang w:eastAsia="zh-CN"/>
        </w:rPr>
        <w:t>（</w:t>
      </w:r>
      <w:r>
        <w:rPr>
          <w:rFonts w:hint="eastAsia" w:ascii="仿宋" w:hAnsi="仿宋" w:eastAsia="仿宋" w:cs="宋体"/>
          <w:sz w:val="32"/>
          <w:szCs w:val="32"/>
          <w:highlight w:val="none"/>
        </w:rPr>
        <w:t>切割标准：</w:t>
      </w:r>
      <w:r>
        <w:rPr>
          <w:rFonts w:hint="eastAsia" w:ascii="仿宋" w:hAnsi="仿宋" w:eastAsia="仿宋" w:cs="宋体"/>
          <w:sz w:val="32"/>
          <w:szCs w:val="32"/>
          <w:highlight w:val="none"/>
          <w:lang w:val="en-US" w:eastAsia="zh-CN"/>
        </w:rPr>
        <w:t>新动区/型钢区</w:t>
      </w:r>
      <w:r>
        <w:rPr>
          <w:rFonts w:hint="eastAsia" w:ascii="仿宋_GB2312" w:hAnsi="仿宋_GB2312" w:eastAsia="仿宋_GB2312" w:cs="仿宋_GB2312"/>
          <w:sz w:val="32"/>
          <w:szCs w:val="32"/>
          <w:highlight w:val="none"/>
          <w:lang w:val="en-US" w:eastAsia="zh-CN"/>
        </w:rPr>
        <w:t>钢包铸余、</w:t>
      </w:r>
      <w:r>
        <w:rPr>
          <w:rFonts w:hint="eastAsia" w:ascii="仿宋_GB2312" w:hAnsi="仿宋_GB2312" w:eastAsia="仿宋_GB2312" w:cs="仿宋_GB2312"/>
          <w:sz w:val="32"/>
          <w:szCs w:val="32"/>
          <w:highlight w:val="none"/>
        </w:rPr>
        <w:t>中间包稳流器渣钢、</w:t>
      </w:r>
      <w:r>
        <w:rPr>
          <w:rFonts w:hint="eastAsia" w:ascii="仿宋_GB2312" w:hAnsi="仿宋_GB2312" w:eastAsia="仿宋_GB2312" w:cs="仿宋_GB2312"/>
          <w:sz w:val="32"/>
          <w:szCs w:val="32"/>
          <w:highlight w:val="none"/>
          <w:lang w:val="en-US" w:eastAsia="zh-CN"/>
        </w:rPr>
        <w:t>炉口渣钢、</w:t>
      </w:r>
      <w:r>
        <w:rPr>
          <w:rFonts w:hint="eastAsia" w:ascii="仿宋_GB2312" w:hAnsi="仿宋_GB2312" w:eastAsia="仿宋_GB2312" w:cs="仿宋_GB2312"/>
          <w:sz w:val="32"/>
          <w:szCs w:val="32"/>
          <w:highlight w:val="none"/>
        </w:rPr>
        <w:t>罐铁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废坯、轧废、大尺寸设备废钢等</w:t>
      </w:r>
      <w:r>
        <w:rPr>
          <w:rFonts w:hint="eastAsia" w:ascii="仿宋_GB2312" w:hAnsi="仿宋_GB2312" w:eastAsia="仿宋_GB2312" w:cs="仿宋_GB2312"/>
          <w:sz w:val="32"/>
          <w:szCs w:val="32"/>
          <w:highlight w:val="none"/>
          <w:lang w:val="en-US" w:eastAsia="zh-CN"/>
        </w:rPr>
        <w:t>轻型废钢</w:t>
      </w:r>
      <w:r>
        <w:rPr>
          <w:rFonts w:hint="eastAsia" w:ascii="仿宋_GB2312" w:hAnsi="仿宋_GB2312" w:eastAsia="仿宋_GB2312" w:cs="仿宋_GB2312"/>
          <w:sz w:val="32"/>
          <w:szCs w:val="32"/>
          <w:highlight w:val="none"/>
        </w:rPr>
        <w:t>切割后的尺寸应</w:t>
      </w:r>
      <w:r>
        <w:rPr>
          <w:rFonts w:hint="eastAsia" w:ascii="仿宋_GB2312" w:hAnsi="仿宋_GB2312" w:eastAsia="仿宋_GB2312" w:cs="仿宋_GB2312"/>
          <w:sz w:val="32"/>
          <w:szCs w:val="32"/>
          <w:highlight w:val="none"/>
          <w:lang w:val="en-US" w:eastAsia="zh-CN"/>
        </w:rPr>
        <w:t>不大于</w:t>
      </w:r>
      <w:r>
        <w:rPr>
          <w:rFonts w:hint="eastAsia" w:ascii="仿宋_GB2312" w:hAnsi="仿宋_GB2312" w:eastAsia="仿宋_GB2312" w:cs="仿宋_GB2312"/>
          <w:sz w:val="32"/>
          <w:szCs w:val="32"/>
          <w:highlight w:val="none"/>
        </w:rPr>
        <w:t>1200mm*500mm*500mm</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特钢区钢包铸余、</w:t>
      </w:r>
      <w:r>
        <w:rPr>
          <w:rFonts w:hint="eastAsia" w:ascii="仿宋_GB2312" w:hAnsi="仿宋_GB2312" w:eastAsia="仿宋_GB2312" w:cs="仿宋_GB2312"/>
          <w:sz w:val="32"/>
          <w:szCs w:val="32"/>
          <w:highlight w:val="none"/>
        </w:rPr>
        <w:t>中间</w:t>
      </w:r>
      <w:r>
        <w:rPr>
          <w:rFonts w:hint="eastAsia" w:ascii="仿宋_GB2312" w:hAnsi="仿宋_GB2312" w:eastAsia="仿宋_GB2312" w:cs="仿宋_GB2312"/>
          <w:sz w:val="32"/>
          <w:szCs w:val="32"/>
          <w:highlight w:val="none"/>
          <w:lang w:val="en-US" w:eastAsia="zh-CN"/>
        </w:rPr>
        <w:t>铸</w:t>
      </w:r>
      <w:r>
        <w:rPr>
          <w:rFonts w:hint="eastAsia" w:ascii="仿宋_GB2312" w:hAnsi="仿宋_GB2312" w:eastAsia="仿宋_GB2312" w:cs="仿宋_GB2312"/>
          <w:sz w:val="32"/>
          <w:szCs w:val="32"/>
          <w:highlight w:val="none"/>
        </w:rPr>
        <w:t>余、坨钢</w:t>
      </w:r>
      <w:r>
        <w:rPr>
          <w:rFonts w:hint="eastAsia" w:ascii="仿宋_GB2312" w:hAnsi="仿宋_GB2312" w:eastAsia="仿宋_GB2312" w:cs="仿宋_GB2312"/>
          <w:sz w:val="32"/>
          <w:szCs w:val="32"/>
          <w:highlight w:val="none"/>
          <w:lang w:val="en-US" w:eastAsia="zh-CN"/>
        </w:rPr>
        <w:t>等重型废钢</w:t>
      </w:r>
      <w:r>
        <w:rPr>
          <w:rFonts w:hint="eastAsia" w:ascii="仿宋_GB2312" w:hAnsi="仿宋_GB2312" w:eastAsia="仿宋_GB2312" w:cs="仿宋_GB2312"/>
          <w:sz w:val="32"/>
          <w:szCs w:val="32"/>
          <w:highlight w:val="none"/>
        </w:rPr>
        <w:t>切割后的尺寸应满足长度、宽度、高度均不大于400mm</w:t>
      </w:r>
      <w:r>
        <w:rPr>
          <w:rFonts w:hint="eastAsia" w:ascii="仿宋_GB2312" w:hAnsi="仿宋_GB2312" w:eastAsia="仿宋_GB2312" w:cs="仿宋_GB2312"/>
          <w:sz w:val="32"/>
          <w:szCs w:val="32"/>
          <w:highlight w:val="none"/>
          <w:lang w:eastAsia="zh-CN"/>
        </w:rPr>
        <w:t>。）</w:t>
      </w:r>
    </w:p>
    <w:p w14:paraId="002701E0">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Chars="0" w:firstLine="640" w:firstLineChars="200"/>
        <w:rPr>
          <w:rFonts w:ascii="仿宋_GB2312" w:hAnsi="宋体" w:eastAsia="仿宋_GB2312" w:cs="Arial"/>
          <w:kern w:val="0"/>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在货源充足前提下，切割</w:t>
      </w:r>
      <w:r>
        <w:rPr>
          <w:rFonts w:hint="eastAsia" w:ascii="仿宋_GB2312" w:hAnsi="仿宋_GB2312" w:eastAsia="仿宋_GB2312" w:cs="仿宋_GB2312"/>
          <w:sz w:val="32"/>
          <w:szCs w:val="32"/>
          <w:highlight w:val="none"/>
          <w:lang w:val="en-US" w:eastAsia="zh-CN"/>
        </w:rPr>
        <w:t>能力</w:t>
      </w:r>
      <w:r>
        <w:rPr>
          <w:rFonts w:hint="eastAsia" w:ascii="仿宋_GB2312" w:hAnsi="仿宋_GB2312" w:eastAsia="仿宋_GB2312" w:cs="仿宋_GB2312"/>
          <w:sz w:val="32"/>
          <w:szCs w:val="32"/>
          <w:highlight w:val="none"/>
        </w:rPr>
        <w:t>应满足使用单位要求，</w:t>
      </w:r>
      <w:r>
        <w:rPr>
          <w:rFonts w:hint="eastAsia" w:ascii="仿宋_GB2312" w:hAnsi="仿宋_GB2312" w:eastAsia="仿宋_GB2312" w:cs="仿宋_GB2312"/>
          <w:sz w:val="32"/>
          <w:szCs w:val="32"/>
          <w:highlight w:val="none"/>
          <w:lang w:val="en-US" w:eastAsia="zh-CN"/>
        </w:rPr>
        <w:t>新动区/型钢区</w:t>
      </w:r>
      <w:r>
        <w:rPr>
          <w:rFonts w:hint="eastAsia" w:ascii="仿宋_GB2312" w:hAnsi="仿宋_GB2312" w:eastAsia="仿宋_GB2312" w:cs="仿宋_GB2312"/>
          <w:color w:val="auto"/>
          <w:sz w:val="32"/>
          <w:szCs w:val="32"/>
          <w:highlight w:val="none"/>
        </w:rPr>
        <w:t>每日</w:t>
      </w:r>
      <w:r>
        <w:rPr>
          <w:rFonts w:hint="eastAsia" w:ascii="仿宋_GB2312" w:hAnsi="仿宋_GB2312" w:eastAsia="仿宋_GB2312" w:cs="仿宋_GB2312"/>
          <w:sz w:val="32"/>
          <w:szCs w:val="32"/>
          <w:highlight w:val="none"/>
        </w:rPr>
        <w:t>切割</w:t>
      </w:r>
      <w:r>
        <w:rPr>
          <w:rFonts w:hint="eastAsia" w:ascii="仿宋_GB2312" w:hAnsi="仿宋_GB2312" w:eastAsia="仿宋_GB2312" w:cs="仿宋_GB2312"/>
          <w:sz w:val="32"/>
          <w:szCs w:val="32"/>
          <w:highlight w:val="none"/>
          <w:lang w:val="en-US" w:eastAsia="zh-CN"/>
        </w:rPr>
        <w:t>能力</w:t>
      </w:r>
      <w:r>
        <w:rPr>
          <w:rFonts w:hint="eastAsia" w:ascii="仿宋_GB2312" w:hAnsi="仿宋_GB2312" w:eastAsia="仿宋_GB2312" w:cs="仿宋_GB2312"/>
          <w:color w:val="auto"/>
          <w:sz w:val="32"/>
          <w:szCs w:val="32"/>
          <w:highlight w:val="none"/>
        </w:rPr>
        <w:t>不得少于100吨，</w:t>
      </w:r>
      <w:r>
        <w:rPr>
          <w:rFonts w:hint="eastAsia" w:ascii="仿宋_GB2312" w:hAnsi="仿宋_GB2312" w:eastAsia="仿宋_GB2312" w:cs="仿宋_GB2312"/>
          <w:color w:val="auto"/>
          <w:sz w:val="32"/>
          <w:szCs w:val="32"/>
          <w:highlight w:val="none"/>
          <w:lang w:val="en-US" w:eastAsia="zh-CN"/>
        </w:rPr>
        <w:t>特钢区</w:t>
      </w:r>
      <w:r>
        <w:rPr>
          <w:rFonts w:hint="eastAsia" w:ascii="仿宋_GB2312" w:hAnsi="仿宋_GB2312" w:eastAsia="仿宋_GB2312" w:cs="仿宋_GB2312"/>
          <w:color w:val="auto"/>
          <w:sz w:val="32"/>
          <w:szCs w:val="32"/>
          <w:highlight w:val="none"/>
        </w:rPr>
        <w:t>每日</w:t>
      </w:r>
      <w:r>
        <w:rPr>
          <w:rFonts w:hint="eastAsia" w:ascii="仿宋_GB2312" w:hAnsi="仿宋_GB2312" w:eastAsia="仿宋_GB2312" w:cs="仿宋_GB2312"/>
          <w:sz w:val="32"/>
          <w:szCs w:val="32"/>
          <w:highlight w:val="none"/>
        </w:rPr>
        <w:t>切割</w:t>
      </w:r>
      <w:r>
        <w:rPr>
          <w:rFonts w:hint="eastAsia" w:ascii="仿宋_GB2312" w:hAnsi="仿宋_GB2312" w:eastAsia="仿宋_GB2312" w:cs="仿宋_GB2312"/>
          <w:sz w:val="32"/>
          <w:szCs w:val="32"/>
          <w:highlight w:val="none"/>
          <w:lang w:val="en-US" w:eastAsia="zh-CN"/>
        </w:rPr>
        <w:t>能力</w:t>
      </w:r>
      <w:r>
        <w:rPr>
          <w:rFonts w:hint="eastAsia" w:ascii="仿宋_GB2312" w:hAnsi="仿宋_GB2312" w:eastAsia="仿宋_GB2312" w:cs="仿宋_GB2312"/>
          <w:color w:val="auto"/>
          <w:sz w:val="32"/>
          <w:szCs w:val="32"/>
          <w:highlight w:val="none"/>
        </w:rPr>
        <w:t>不得少于</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00吨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每少切割1吨考核30元。</w:t>
      </w:r>
      <w:r>
        <w:rPr>
          <w:rFonts w:hint="eastAsia" w:ascii="仿宋_GB2312" w:hAnsi="仿宋_GB2312" w:eastAsia="仿宋_GB2312" w:cs="仿宋_GB2312"/>
          <w:sz w:val="32"/>
          <w:szCs w:val="32"/>
          <w:highlight w:val="none"/>
        </w:rPr>
        <w:t>因中标方原因造成积压影响生产，视情况考核200-1000元/次。中标方对切割的质量负责，因不符合质量要求而另行加工所产生的费用，由中标方承担。</w:t>
      </w:r>
    </w:p>
    <w:p w14:paraId="63412D5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Chars="0" w:firstLine="640" w:firstLineChars="200"/>
        <w:rPr>
          <w:rFonts w:ascii="仿宋_GB2312" w:hAnsi="宋体" w:eastAsia="仿宋_GB2312" w:cs="Arial"/>
          <w:kern w:val="0"/>
          <w:sz w:val="32"/>
          <w:szCs w:val="32"/>
          <w:highlight w:val="none"/>
        </w:rPr>
      </w:pPr>
      <w:r>
        <w:rPr>
          <w:rFonts w:hint="eastAsia" w:ascii="仿宋_GB2312" w:hAnsi="宋体" w:eastAsia="仿宋_GB2312" w:cs="Arial"/>
          <w:kern w:val="0"/>
          <w:sz w:val="32"/>
          <w:szCs w:val="32"/>
          <w:highlight w:val="none"/>
          <w:lang w:val="en-US" w:eastAsia="zh-CN"/>
        </w:rPr>
        <w:t>4</w:t>
      </w:r>
      <w:r>
        <w:rPr>
          <w:rFonts w:hint="eastAsia" w:ascii="仿宋_GB2312" w:hAnsi="宋体" w:eastAsia="仿宋_GB2312" w:cs="Arial"/>
          <w:kern w:val="0"/>
          <w:sz w:val="32"/>
          <w:szCs w:val="32"/>
          <w:highlight w:val="none"/>
        </w:rPr>
        <w:t>、采取有效环境保护措施，杜绝异常烟尘排放。</w:t>
      </w:r>
    </w:p>
    <w:p w14:paraId="5EA1049B">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Chars="0" w:firstLine="640" w:firstLineChars="200"/>
        <w:rPr>
          <w:rFonts w:ascii="仿宋_GB2312" w:hAnsi="宋体" w:eastAsia="仿宋_GB2312" w:cs="Arial"/>
          <w:kern w:val="0"/>
          <w:sz w:val="32"/>
          <w:szCs w:val="32"/>
          <w:highlight w:val="none"/>
        </w:rPr>
      </w:pPr>
      <w:r>
        <w:rPr>
          <w:rFonts w:hint="eastAsia" w:ascii="仿宋_GB2312" w:hAnsi="宋体" w:eastAsia="仿宋_GB2312" w:cs="Arial"/>
          <w:kern w:val="0"/>
          <w:sz w:val="32"/>
          <w:szCs w:val="32"/>
          <w:highlight w:val="none"/>
          <w:lang w:val="en-US" w:eastAsia="zh-CN"/>
        </w:rPr>
        <w:t>5</w:t>
      </w:r>
      <w:r>
        <w:rPr>
          <w:rFonts w:hint="eastAsia" w:ascii="仿宋_GB2312" w:hAnsi="宋体" w:eastAsia="仿宋_GB2312" w:cs="Arial"/>
          <w:kern w:val="0"/>
          <w:sz w:val="32"/>
          <w:szCs w:val="32"/>
          <w:highlight w:val="none"/>
        </w:rPr>
        <w:t>、按现场要求配置，纳入车间管理。</w:t>
      </w:r>
    </w:p>
    <w:p w14:paraId="0D8B7142">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Chars="0" w:firstLine="640" w:firstLineChars="200"/>
        <w:rPr>
          <w:rFonts w:ascii="仿宋_GB2312" w:hAnsi="宋体" w:eastAsia="仿宋_GB2312" w:cs="Arial"/>
          <w:kern w:val="0"/>
          <w:sz w:val="32"/>
          <w:szCs w:val="32"/>
          <w:highlight w:val="none"/>
        </w:rPr>
      </w:pPr>
      <w:r>
        <w:rPr>
          <w:rFonts w:hint="eastAsia" w:ascii="仿宋_GB2312" w:hAnsi="宋体" w:eastAsia="仿宋_GB2312" w:cs="Arial"/>
          <w:kern w:val="0"/>
          <w:sz w:val="32"/>
          <w:szCs w:val="32"/>
          <w:highlight w:val="none"/>
          <w:lang w:val="en-US" w:eastAsia="zh-CN"/>
        </w:rPr>
        <w:t>6</w:t>
      </w:r>
      <w:r>
        <w:rPr>
          <w:rFonts w:hint="eastAsia" w:ascii="仿宋_GB2312" w:hAnsi="宋体" w:eastAsia="仿宋_GB2312" w:cs="Arial"/>
          <w:kern w:val="0"/>
          <w:sz w:val="32"/>
          <w:szCs w:val="32"/>
          <w:highlight w:val="none"/>
        </w:rPr>
        <w:t>、现场作业人员男性不大于60周岁，女性不大于55周岁，出现超龄按照1000元/人考核并立即更换，投标人应为从事此项业务的职工购买不低于200万的意外伤害保险。无职业禁忌症，特种作业人员持证上岗，适应现场工作环境，满足工作需要。</w:t>
      </w:r>
    </w:p>
    <w:p w14:paraId="640F2F6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Chars="0" w:firstLine="640" w:firstLineChars="200"/>
        <w:rPr>
          <w:rFonts w:ascii="仿宋_GB2312" w:hAnsi="宋体" w:eastAsia="仿宋_GB2312" w:cs="Arial"/>
          <w:kern w:val="0"/>
          <w:sz w:val="32"/>
          <w:szCs w:val="32"/>
          <w:highlight w:val="none"/>
        </w:rPr>
      </w:pPr>
      <w:r>
        <w:rPr>
          <w:rFonts w:hint="eastAsia" w:ascii="仿宋_GB2312" w:hAnsi="宋体" w:eastAsia="仿宋_GB2312" w:cs="Arial"/>
          <w:kern w:val="0"/>
          <w:sz w:val="32"/>
          <w:szCs w:val="32"/>
          <w:highlight w:val="none"/>
          <w:lang w:val="en-US" w:eastAsia="zh-CN"/>
        </w:rPr>
        <w:t>7</w:t>
      </w:r>
      <w:r>
        <w:rPr>
          <w:rFonts w:hint="eastAsia" w:ascii="仿宋_GB2312" w:hAnsi="宋体" w:eastAsia="仿宋_GB2312" w:cs="Arial"/>
          <w:kern w:val="0"/>
          <w:sz w:val="32"/>
          <w:szCs w:val="32"/>
          <w:highlight w:val="none"/>
        </w:rPr>
        <w:t>、人员要求保持较高的稳定性，如果变换人员，经考核合格后方可替换，人员数量根据业务需求随时调整，不得耽误正常生产。</w:t>
      </w:r>
    </w:p>
    <w:p w14:paraId="6ADEF2AC">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Chars="0" w:firstLine="640" w:firstLineChars="200"/>
        <w:rPr>
          <w:rFonts w:ascii="仿宋_GB2312" w:hAnsi="宋体" w:eastAsia="仿宋_GB2312" w:cs="Arial"/>
          <w:kern w:val="0"/>
          <w:sz w:val="32"/>
          <w:szCs w:val="32"/>
          <w:highlight w:val="none"/>
        </w:rPr>
      </w:pPr>
      <w:r>
        <w:rPr>
          <w:rFonts w:hint="eastAsia" w:ascii="仿宋_GB2312" w:hAnsi="宋体" w:eastAsia="仿宋_GB2312" w:cs="宋体"/>
          <w:color w:val="000000"/>
          <w:sz w:val="32"/>
          <w:szCs w:val="32"/>
          <w:highlight w:val="none"/>
          <w:lang w:val="en-US" w:eastAsia="zh-CN"/>
        </w:rPr>
        <w:t>8</w:t>
      </w:r>
      <w:r>
        <w:rPr>
          <w:rFonts w:hint="eastAsia" w:ascii="仿宋_GB2312" w:hAnsi="宋体" w:eastAsia="仿宋_GB2312" w:cs="宋体"/>
          <w:color w:val="000000"/>
          <w:sz w:val="32"/>
          <w:szCs w:val="32"/>
          <w:highlight w:val="none"/>
        </w:rPr>
        <w:t>、招标方有权根据生产经营情况和公司人力资源</w:t>
      </w:r>
      <w:r>
        <w:rPr>
          <w:rFonts w:hint="eastAsia" w:ascii="仿宋_GB2312" w:hAnsi="宋体" w:eastAsia="仿宋_GB2312" w:cs="宋体"/>
          <w:color w:val="000000"/>
          <w:sz w:val="32"/>
          <w:szCs w:val="32"/>
          <w:highlight w:val="none"/>
          <w:lang w:val="en-US" w:eastAsia="zh-CN"/>
        </w:rPr>
        <w:t>优化</w:t>
      </w:r>
      <w:r>
        <w:rPr>
          <w:rFonts w:hint="eastAsia" w:ascii="仿宋_GB2312" w:hAnsi="宋体" w:eastAsia="仿宋_GB2312" w:cs="宋体"/>
          <w:color w:val="000000"/>
          <w:sz w:val="32"/>
          <w:szCs w:val="32"/>
          <w:highlight w:val="none"/>
        </w:rPr>
        <w:t>，随时</w:t>
      </w:r>
      <w:r>
        <w:rPr>
          <w:rFonts w:hint="eastAsia" w:ascii="仿宋_GB2312" w:hAnsi="宋体" w:eastAsia="仿宋_GB2312" w:cs="宋体"/>
          <w:color w:val="000000"/>
          <w:sz w:val="32"/>
          <w:szCs w:val="32"/>
          <w:highlight w:val="none"/>
          <w:lang w:val="en-US" w:eastAsia="zh-CN"/>
        </w:rPr>
        <w:t>调整业务量或</w:t>
      </w:r>
      <w:r>
        <w:rPr>
          <w:rFonts w:hint="eastAsia" w:ascii="仿宋_GB2312" w:hAnsi="宋体" w:eastAsia="仿宋_GB2312" w:cs="宋体"/>
          <w:color w:val="000000"/>
          <w:sz w:val="32"/>
          <w:szCs w:val="32"/>
          <w:highlight w:val="none"/>
        </w:rPr>
        <w:t>终止合同。</w:t>
      </w:r>
    </w:p>
    <w:p w14:paraId="3854575C">
      <w:pPr>
        <w:keepNext w:val="0"/>
        <w:keepLines w:val="0"/>
        <w:pageBreakBefore w:val="0"/>
        <w:kinsoku/>
        <w:wordWrap/>
        <w:overflowPunct/>
        <w:topLinePunct w:val="0"/>
        <w:bidi w:val="0"/>
        <w:spacing w:line="560" w:lineRule="exact"/>
        <w:ind w:leftChars="0" w:firstLine="640" w:firstLineChars="200"/>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lang w:val="en-US" w:eastAsia="zh-CN"/>
        </w:rPr>
        <w:t>9</w:t>
      </w:r>
      <w:r>
        <w:rPr>
          <w:rFonts w:hint="eastAsia" w:ascii="仿宋_GB2312" w:hAnsi="宋体" w:eastAsia="仿宋_GB2312" w:cs="宋体"/>
          <w:color w:val="000000"/>
          <w:sz w:val="32"/>
          <w:szCs w:val="32"/>
          <w:highlight w:val="none"/>
        </w:rPr>
        <w:t>、涉及车辆机具的根据公司的环保要求及时更换符合要求的车辆机具。</w:t>
      </w:r>
    </w:p>
    <w:p w14:paraId="6FB6987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Chars="0" w:firstLine="640" w:firstLineChars="200"/>
        <w:rPr>
          <w:rFonts w:ascii="仿宋_GB2312" w:hAnsi="宋体" w:eastAsia="仿宋_GB2312" w:cs="宋体"/>
          <w:kern w:val="0"/>
          <w:sz w:val="32"/>
          <w:szCs w:val="32"/>
          <w:highlight w:val="none"/>
        </w:rPr>
      </w:pPr>
      <w:r>
        <w:rPr>
          <w:rFonts w:hint="eastAsia" w:ascii="仿宋_GB2312" w:hAnsi="宋体" w:eastAsia="仿宋_GB2312" w:cs="宋体"/>
          <w:color w:val="000000"/>
          <w:sz w:val="32"/>
          <w:szCs w:val="32"/>
          <w:highlight w:val="none"/>
          <w:lang w:val="en-US" w:eastAsia="zh-CN"/>
        </w:rPr>
        <w:t>10</w:t>
      </w:r>
      <w:r>
        <w:rPr>
          <w:rFonts w:hint="eastAsia" w:ascii="仿宋_GB2312" w:hAnsi="宋体" w:eastAsia="仿宋_GB2312" w:cs="宋体"/>
          <w:color w:val="000000"/>
          <w:sz w:val="32"/>
          <w:szCs w:val="32"/>
          <w:highlight w:val="none"/>
        </w:rPr>
        <w:t>、</w:t>
      </w:r>
      <w:r>
        <w:rPr>
          <w:rFonts w:hint="eastAsia" w:ascii="仿宋_GB2312" w:hAnsi="宋体" w:eastAsia="仿宋_GB2312" w:cs="宋体"/>
          <w:kern w:val="0"/>
          <w:sz w:val="32"/>
          <w:szCs w:val="32"/>
          <w:highlight w:val="none"/>
        </w:rPr>
        <w:t>本业务禁止外包，如有违反，考核5000-10000元并</w:t>
      </w:r>
      <w:r>
        <w:rPr>
          <w:rFonts w:hint="eastAsia" w:ascii="仿宋_GB2312" w:hAnsi="仿宋_GB2312" w:eastAsia="仿宋_GB2312" w:cs="仿宋_GB2312"/>
          <w:sz w:val="32"/>
          <w:szCs w:val="32"/>
          <w:highlight w:val="none"/>
        </w:rPr>
        <w:t>取消业务终止合同</w:t>
      </w:r>
      <w:r>
        <w:rPr>
          <w:rFonts w:hint="eastAsia" w:ascii="仿宋_GB2312" w:hAnsi="宋体" w:eastAsia="仿宋_GB2312" w:cs="宋体"/>
          <w:kern w:val="0"/>
          <w:sz w:val="32"/>
          <w:szCs w:val="32"/>
          <w:highlight w:val="none"/>
        </w:rPr>
        <w:t>。</w:t>
      </w:r>
    </w:p>
    <w:p w14:paraId="0406F1E7">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Chars="0"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1</w:t>
      </w:r>
      <w:r>
        <w:rPr>
          <w:rFonts w:hint="eastAsia" w:ascii="仿宋_GB2312" w:hAnsi="宋体" w:eastAsia="仿宋_GB2312" w:cs="宋体"/>
          <w:kern w:val="0"/>
          <w:sz w:val="32"/>
          <w:szCs w:val="32"/>
          <w:highlight w:val="none"/>
          <w:lang w:val="en-US" w:eastAsia="zh-CN"/>
        </w:rPr>
        <w:t>1</w:t>
      </w:r>
      <w:r>
        <w:rPr>
          <w:rFonts w:hint="eastAsia" w:ascii="仿宋_GB2312" w:hAnsi="宋体" w:eastAsia="仿宋_GB2312" w:cs="宋体"/>
          <w:kern w:val="0"/>
          <w:sz w:val="32"/>
          <w:szCs w:val="32"/>
          <w:highlight w:val="none"/>
        </w:rPr>
        <w:t>、本业务所涉及的</w:t>
      </w:r>
      <w:r>
        <w:rPr>
          <w:rFonts w:hint="eastAsia" w:ascii="仿宋_GB2312" w:hAnsi="宋体" w:eastAsia="仿宋_GB2312" w:cs="宋体"/>
          <w:kern w:val="0"/>
          <w:sz w:val="32"/>
          <w:szCs w:val="32"/>
          <w:highlight w:val="none"/>
          <w:lang w:val="en-US" w:eastAsia="zh-CN"/>
        </w:rPr>
        <w:t>能源介质（氧气、电源等）</w:t>
      </w:r>
      <w:r>
        <w:rPr>
          <w:rFonts w:hint="eastAsia" w:ascii="仿宋_GB2312" w:hAnsi="宋体" w:eastAsia="仿宋_GB2312" w:cs="宋体"/>
          <w:kern w:val="0"/>
          <w:sz w:val="32"/>
          <w:szCs w:val="32"/>
          <w:highlight w:val="none"/>
        </w:rPr>
        <w:t>、装卸及运输由</w:t>
      </w:r>
      <w:r>
        <w:rPr>
          <w:rFonts w:hint="eastAsia" w:ascii="仿宋_GB2312" w:hAnsi="宋体" w:eastAsia="仿宋_GB2312" w:cs="宋体"/>
          <w:kern w:val="0"/>
          <w:sz w:val="32"/>
          <w:szCs w:val="32"/>
          <w:highlight w:val="none"/>
          <w:lang w:val="en-US" w:eastAsia="zh-CN"/>
        </w:rPr>
        <w:t>招标方</w:t>
      </w:r>
      <w:r>
        <w:rPr>
          <w:rFonts w:hint="eastAsia" w:ascii="仿宋_GB2312" w:hAnsi="宋体" w:eastAsia="仿宋_GB2312" w:cs="宋体"/>
          <w:kern w:val="0"/>
          <w:sz w:val="32"/>
          <w:szCs w:val="32"/>
          <w:highlight w:val="none"/>
        </w:rPr>
        <w:t>负责，</w:t>
      </w:r>
      <w:r>
        <w:rPr>
          <w:rFonts w:hint="eastAsia" w:ascii="仿宋_GB2312" w:hAnsi="仿宋_GB2312" w:eastAsia="仿宋_GB2312" w:cs="仿宋_GB2312"/>
          <w:sz w:val="32"/>
          <w:szCs w:val="32"/>
          <w:highlight w:val="none"/>
        </w:rPr>
        <w:t>劳动保护用品、</w:t>
      </w:r>
      <w:r>
        <w:rPr>
          <w:rFonts w:hint="eastAsia" w:ascii="仿宋_GB2312" w:hAnsi="宋体" w:eastAsia="仿宋_GB2312" w:cs="宋体"/>
          <w:kern w:val="0"/>
          <w:sz w:val="32"/>
          <w:szCs w:val="32"/>
          <w:highlight w:val="none"/>
          <w:lang w:eastAsia="zh-CN"/>
        </w:rPr>
        <w:t>吹氧管、</w:t>
      </w:r>
      <w:r>
        <w:rPr>
          <w:rFonts w:hint="eastAsia" w:ascii="仿宋_GB2312" w:hAnsi="宋体" w:eastAsia="仿宋_GB2312" w:cs="宋体"/>
          <w:kern w:val="0"/>
          <w:sz w:val="32"/>
          <w:szCs w:val="32"/>
          <w:highlight w:val="none"/>
        </w:rPr>
        <w:t>氧气</w:t>
      </w:r>
      <w:r>
        <w:rPr>
          <w:rFonts w:hint="eastAsia" w:ascii="仿宋_GB2312" w:hAnsi="宋体" w:eastAsia="仿宋_GB2312" w:cs="宋体"/>
          <w:kern w:val="0"/>
          <w:sz w:val="32"/>
          <w:szCs w:val="32"/>
          <w:highlight w:val="none"/>
          <w:lang w:eastAsia="zh-CN"/>
        </w:rPr>
        <w:t>胶</w:t>
      </w:r>
      <w:r>
        <w:rPr>
          <w:rFonts w:hint="eastAsia" w:ascii="仿宋_GB2312" w:hAnsi="宋体" w:eastAsia="仿宋_GB2312" w:cs="宋体"/>
          <w:kern w:val="0"/>
          <w:sz w:val="32"/>
          <w:szCs w:val="32"/>
          <w:highlight w:val="none"/>
        </w:rPr>
        <w:t>管、</w:t>
      </w:r>
      <w:r>
        <w:rPr>
          <w:rFonts w:hint="eastAsia" w:ascii="仿宋_GB2312" w:hAnsi="宋体" w:eastAsia="仿宋_GB2312" w:cs="宋体"/>
          <w:kern w:val="0"/>
          <w:sz w:val="32"/>
          <w:szCs w:val="32"/>
          <w:highlight w:val="none"/>
          <w:lang w:val="en-US" w:eastAsia="zh-CN"/>
        </w:rPr>
        <w:t>电焊机等</w:t>
      </w:r>
      <w:r>
        <w:rPr>
          <w:rFonts w:hint="eastAsia" w:ascii="仿宋_GB2312" w:hAnsi="仿宋_GB2312" w:eastAsia="仿宋_GB2312" w:cs="仿宋_GB2312"/>
          <w:sz w:val="32"/>
          <w:szCs w:val="32"/>
          <w:highlight w:val="none"/>
        </w:rPr>
        <w:t>切割工具等由中标方自行承担</w:t>
      </w:r>
      <w:r>
        <w:rPr>
          <w:rFonts w:hint="eastAsia" w:ascii="仿宋_GB2312" w:hAnsi="宋体" w:eastAsia="仿宋_GB2312" w:cs="宋体"/>
          <w:strike w:val="0"/>
          <w:dstrike w:val="0"/>
          <w:kern w:val="0"/>
          <w:sz w:val="32"/>
          <w:szCs w:val="32"/>
          <w:highlight w:val="none"/>
          <w:lang w:eastAsia="zh-CN"/>
        </w:rPr>
        <w:t>。</w:t>
      </w:r>
    </w:p>
    <w:p w14:paraId="7D505FE7">
      <w:pPr>
        <w:keepNext w:val="0"/>
        <w:keepLines w:val="0"/>
        <w:pageBreakBefore w:val="0"/>
        <w:widowControl/>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1</w:t>
      </w:r>
      <w:r>
        <w:rPr>
          <w:rFonts w:hint="eastAsia" w:ascii="仿宋_GB2312" w:hAnsi="宋体" w:eastAsia="仿宋_GB2312" w:cs="宋体"/>
          <w:kern w:val="0"/>
          <w:sz w:val="32"/>
          <w:szCs w:val="32"/>
          <w:highlight w:val="none"/>
          <w:lang w:val="en-US" w:eastAsia="zh-CN"/>
        </w:rPr>
        <w:t>2</w:t>
      </w:r>
      <w:r>
        <w:rPr>
          <w:rFonts w:hint="eastAsia" w:ascii="仿宋_GB2312" w:hAnsi="宋体" w:eastAsia="仿宋_GB2312" w:cs="宋体"/>
          <w:kern w:val="0"/>
          <w:sz w:val="32"/>
          <w:szCs w:val="32"/>
          <w:highlight w:val="none"/>
        </w:rPr>
        <w:t>、中标方必须遵守国家、省市各级相关法律法规，按照公司相关方“四个统一”安全管理规定要求进入现场作业，如有违反，按照相应的标准进行考核。</w:t>
      </w:r>
    </w:p>
    <w:p w14:paraId="6EB4F387">
      <w:pPr>
        <w:keepNext w:val="0"/>
        <w:keepLines w:val="0"/>
        <w:pageBreakBefore w:val="0"/>
        <w:widowControl/>
        <w:numPr>
          <w:ilvl w:val="0"/>
          <w:numId w:val="0"/>
        </w:numPr>
        <w:tabs>
          <w:tab w:val="left" w:pos="993"/>
        </w:tabs>
        <w:kinsoku/>
        <w:wordWrap/>
        <w:overflowPunct/>
        <w:topLinePunct w:val="0"/>
        <w:bidi w:val="0"/>
        <w:spacing w:line="560" w:lineRule="exact"/>
        <w:ind w:leftChars="0"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五.</w:t>
      </w:r>
      <w:r>
        <w:rPr>
          <w:rFonts w:hint="eastAsia" w:ascii="黑体" w:hAnsi="黑体" w:eastAsia="黑体" w:cs="宋体"/>
          <w:color w:val="auto"/>
          <w:kern w:val="0"/>
          <w:sz w:val="32"/>
          <w:szCs w:val="32"/>
        </w:rPr>
        <w:t xml:space="preserve">投标报名截止时间 </w:t>
      </w:r>
    </w:p>
    <w:p w14:paraId="39F11AE3">
      <w:pPr>
        <w:keepNext w:val="0"/>
        <w:keepLines w:val="0"/>
        <w:pageBreakBefore w:val="0"/>
        <w:kinsoku/>
        <w:wordWrap/>
        <w:overflowPunct/>
        <w:topLinePunct w:val="0"/>
        <w:bidi w:val="0"/>
        <w:snapToGrid w:val="0"/>
        <w:spacing w:line="560" w:lineRule="exact"/>
        <w:ind w:leftChars="0" w:firstLine="640" w:firstLineChars="200"/>
        <w:jc w:val="both"/>
        <w:rPr>
          <w:rFonts w:hint="default" w:ascii="仿宋_GB2312" w:eastAsia="仿宋_GB2312"/>
          <w:color w:val="auto"/>
          <w:sz w:val="32"/>
          <w:szCs w:val="32"/>
          <w:lang w:val="en-US" w:eastAsia="zh-CN"/>
        </w:rPr>
      </w:pPr>
      <w:r>
        <w:rPr>
          <w:rFonts w:hint="eastAsia" w:ascii="仿宋_GB2312" w:eastAsia="仿宋_GB2312"/>
          <w:color w:val="auto"/>
          <w:sz w:val="32"/>
          <w:szCs w:val="32"/>
        </w:rPr>
        <w:t>公告开始日期：</w:t>
      </w:r>
      <w:r>
        <w:rPr>
          <w:rFonts w:hint="eastAsia" w:ascii="仿宋_GB2312" w:eastAsia="仿宋_GB2312"/>
          <w:color w:val="auto"/>
          <w:sz w:val="32"/>
          <w:szCs w:val="32"/>
          <w:lang w:val="en-US" w:eastAsia="zh-CN"/>
        </w:rPr>
        <w:t>2025年11月17日</w:t>
      </w:r>
    </w:p>
    <w:p w14:paraId="20C88347">
      <w:pPr>
        <w:keepNext w:val="0"/>
        <w:keepLines w:val="0"/>
        <w:pageBreakBefore w:val="0"/>
        <w:kinsoku/>
        <w:wordWrap/>
        <w:overflowPunct/>
        <w:topLinePunct w:val="0"/>
        <w:bidi w:val="0"/>
        <w:snapToGrid w:val="0"/>
        <w:spacing w:line="560" w:lineRule="exact"/>
        <w:ind w:leftChars="0" w:firstLine="640" w:firstLineChars="200"/>
        <w:jc w:val="both"/>
        <w:rPr>
          <w:rFonts w:hint="default" w:ascii="仿宋_GB2312" w:eastAsia="仿宋_GB2312"/>
          <w:color w:val="auto"/>
          <w:sz w:val="32"/>
          <w:szCs w:val="32"/>
          <w:lang w:val="en-US" w:eastAsia="zh-CN"/>
        </w:rPr>
      </w:pPr>
      <w:r>
        <w:rPr>
          <w:rFonts w:hint="eastAsia" w:ascii="仿宋_GB2312" w:eastAsia="仿宋_GB2312"/>
          <w:color w:val="auto"/>
          <w:sz w:val="32"/>
          <w:szCs w:val="32"/>
        </w:rPr>
        <w:t>公告结束日期：</w:t>
      </w:r>
      <w:r>
        <w:rPr>
          <w:rFonts w:hint="eastAsia" w:ascii="仿宋_GB2312" w:eastAsia="仿宋_GB2312"/>
          <w:color w:val="auto"/>
          <w:sz w:val="32"/>
          <w:szCs w:val="32"/>
          <w:lang w:val="en-US" w:eastAsia="zh-CN"/>
        </w:rPr>
        <w:t>2025年11月21日</w:t>
      </w:r>
    </w:p>
    <w:p w14:paraId="6503B1E0">
      <w:pPr>
        <w:keepNext w:val="0"/>
        <w:keepLines w:val="0"/>
        <w:pageBreakBefore w:val="0"/>
        <w:kinsoku/>
        <w:wordWrap/>
        <w:overflowPunct/>
        <w:topLinePunct w:val="0"/>
        <w:bidi w:val="0"/>
        <w:snapToGrid w:val="0"/>
        <w:spacing w:line="560" w:lineRule="exact"/>
        <w:ind w:leftChars="0" w:firstLine="640"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资格</w:t>
      </w:r>
      <w:r>
        <w:rPr>
          <w:rFonts w:hint="eastAsia" w:ascii="仿宋_GB2312" w:hAnsi="Times New Roman" w:eastAsia="仿宋_GB2312" w:cs="Times New Roman"/>
          <w:color w:val="auto"/>
          <w:sz w:val="32"/>
          <w:szCs w:val="32"/>
          <w:lang w:val="en-US" w:eastAsia="zh-CN"/>
        </w:rPr>
        <w:t>审查</w:t>
      </w:r>
      <w:r>
        <w:rPr>
          <w:rFonts w:hint="eastAsia" w:ascii="仿宋_GB2312" w:hAnsi="Times New Roman" w:eastAsia="仿宋_GB2312" w:cs="Times New Roman"/>
          <w:color w:val="auto"/>
          <w:sz w:val="32"/>
          <w:szCs w:val="32"/>
        </w:rPr>
        <w:t>地点：山东钢铁股份有限公司招标中心。</w:t>
      </w:r>
    </w:p>
    <w:p w14:paraId="6A57CCD3">
      <w:pPr>
        <w:keepNext w:val="0"/>
        <w:keepLines w:val="0"/>
        <w:pageBreakBefore w:val="0"/>
        <w:widowControl/>
        <w:kinsoku/>
        <w:wordWrap/>
        <w:overflowPunct/>
        <w:topLinePunct w:val="0"/>
        <w:bidi w:val="0"/>
        <w:spacing w:line="560" w:lineRule="exact"/>
        <w:ind w:leftChars="0" w:firstLine="640" w:firstLineChars="200"/>
        <w:jc w:val="both"/>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资格审查资料：投标人在山钢集团阳光购销管理信息平台及所报名项目上传附件处，按本公告要求上传企业营业执照、企业资质、以及相关业绩证明、法定代表人授权书等原件扫描件。</w:t>
      </w:r>
    </w:p>
    <w:p w14:paraId="41B185B5">
      <w:pPr>
        <w:keepNext w:val="0"/>
        <w:keepLines w:val="0"/>
        <w:pageBreakBefore w:val="0"/>
        <w:widowControl/>
        <w:kinsoku/>
        <w:wordWrap/>
        <w:overflowPunct/>
        <w:topLinePunct w:val="0"/>
        <w:bidi w:val="0"/>
        <w:spacing w:line="560" w:lineRule="exact"/>
        <w:ind w:leftChars="0"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六.</w:t>
      </w:r>
      <w:r>
        <w:rPr>
          <w:rFonts w:hint="eastAsia" w:ascii="黑体" w:hAnsi="黑体" w:eastAsia="黑体" w:cs="宋体"/>
          <w:color w:val="auto"/>
          <w:kern w:val="0"/>
          <w:sz w:val="32"/>
          <w:szCs w:val="32"/>
        </w:rPr>
        <w:t>开标地点</w:t>
      </w:r>
    </w:p>
    <w:p w14:paraId="31A2112B">
      <w:pPr>
        <w:keepNext w:val="0"/>
        <w:keepLines w:val="0"/>
        <w:pageBreakBefore w:val="0"/>
        <w:widowControl/>
        <w:kinsoku/>
        <w:wordWrap/>
        <w:overflowPunct/>
        <w:topLinePunct w:val="0"/>
        <w:bidi w:val="0"/>
        <w:spacing w:line="560" w:lineRule="exact"/>
        <w:ind w:leftChars="0" w:firstLine="640" w:firstLineChars="200"/>
        <w:jc w:val="both"/>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山东钢铁股份有限公司招标中心（济南市钢城区友谊路26号）。</w:t>
      </w:r>
    </w:p>
    <w:p w14:paraId="342938BF">
      <w:pPr>
        <w:keepNext w:val="0"/>
        <w:keepLines w:val="0"/>
        <w:pageBreakBefore w:val="0"/>
        <w:widowControl/>
        <w:kinsoku/>
        <w:wordWrap/>
        <w:overflowPunct/>
        <w:topLinePunct w:val="0"/>
        <w:bidi w:val="0"/>
        <w:spacing w:line="560" w:lineRule="exact"/>
        <w:ind w:leftChars="0"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七.</w:t>
      </w:r>
      <w:r>
        <w:rPr>
          <w:rFonts w:hint="eastAsia" w:ascii="黑体" w:hAnsi="黑体" w:eastAsia="黑体" w:cs="宋体"/>
          <w:color w:val="auto"/>
          <w:kern w:val="0"/>
          <w:sz w:val="32"/>
          <w:szCs w:val="32"/>
        </w:rPr>
        <w:t>投标截止及开标时间</w:t>
      </w:r>
    </w:p>
    <w:p w14:paraId="41CF861E">
      <w:pPr>
        <w:keepNext w:val="0"/>
        <w:keepLines w:val="0"/>
        <w:pageBreakBefore w:val="0"/>
        <w:widowControl/>
        <w:kinsoku/>
        <w:wordWrap/>
        <w:overflowPunct/>
        <w:topLinePunct w:val="0"/>
        <w:bidi w:val="0"/>
        <w:spacing w:line="560" w:lineRule="exact"/>
        <w:ind w:leftChars="0" w:firstLine="640"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具体</w:t>
      </w:r>
      <w:r>
        <w:rPr>
          <w:rFonts w:hint="eastAsia" w:ascii="仿宋_GB2312" w:hAnsi="Times New Roman" w:eastAsia="仿宋_GB2312" w:cs="Times New Roman"/>
          <w:color w:val="auto"/>
          <w:sz w:val="32"/>
          <w:szCs w:val="32"/>
        </w:rPr>
        <w:t>以系统公告时间为准，逾期视为放弃投标。</w:t>
      </w:r>
    </w:p>
    <w:p w14:paraId="7625E117">
      <w:pPr>
        <w:keepNext w:val="0"/>
        <w:keepLines w:val="0"/>
        <w:pageBreakBefore w:val="0"/>
        <w:widowControl/>
        <w:kinsoku/>
        <w:wordWrap/>
        <w:overflowPunct/>
        <w:topLinePunct w:val="0"/>
        <w:bidi w:val="0"/>
        <w:spacing w:line="560" w:lineRule="exact"/>
        <w:ind w:leftChars="0"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八．</w:t>
      </w:r>
      <w:r>
        <w:rPr>
          <w:rFonts w:hint="eastAsia" w:ascii="黑体" w:hAnsi="黑体" w:eastAsia="黑体" w:cs="宋体"/>
          <w:color w:val="auto"/>
          <w:kern w:val="0"/>
          <w:sz w:val="32"/>
          <w:szCs w:val="32"/>
        </w:rPr>
        <w:t>投标报名及招标文件的获取方式</w:t>
      </w:r>
    </w:p>
    <w:p w14:paraId="4C1DAB40">
      <w:pPr>
        <w:keepNext w:val="0"/>
        <w:keepLines w:val="0"/>
        <w:pageBreakBefore w:val="0"/>
        <w:kinsoku/>
        <w:wordWrap/>
        <w:overflowPunct/>
        <w:topLinePunct w:val="0"/>
        <w:bidi w:val="0"/>
        <w:snapToGrid w:val="0"/>
        <w:spacing w:line="560" w:lineRule="exact"/>
        <w:ind w:leftChars="0"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47239E67">
      <w:pPr>
        <w:keepNext w:val="0"/>
        <w:keepLines w:val="0"/>
        <w:pageBreakBefore w:val="0"/>
        <w:numPr>
          <w:ilvl w:val="0"/>
          <w:numId w:val="2"/>
        </w:numPr>
        <w:kinsoku/>
        <w:wordWrap/>
        <w:overflowPunct/>
        <w:topLinePunct w:val="0"/>
        <w:bidi w:val="0"/>
        <w:snapToGrid w:val="0"/>
        <w:spacing w:line="560" w:lineRule="exact"/>
        <w:ind w:leftChars="0" w:firstLine="640" w:firstLineChars="200"/>
        <w:jc w:val="both"/>
        <w:rPr>
          <w:rFonts w:hint="eastAsia" w:ascii="仿宋_GB2312" w:hAnsi="宋体" w:eastAsia="仿宋_GB2312"/>
          <w:sz w:val="32"/>
          <w:szCs w:val="32"/>
          <w:highlight w:val="none"/>
        </w:rPr>
      </w:pPr>
      <w:r>
        <w:rPr>
          <w:rFonts w:hint="eastAsia" w:ascii="黑体" w:hAnsi="黑体" w:eastAsia="黑体" w:cs="宋体"/>
          <w:color w:val="auto"/>
          <w:kern w:val="0"/>
          <w:sz w:val="32"/>
          <w:szCs w:val="32"/>
          <w:lang w:val="en-US" w:eastAsia="zh-CN"/>
        </w:rPr>
        <w:t>保证金收取</w:t>
      </w:r>
    </w:p>
    <w:p w14:paraId="5C011FC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因本项目与招标人生产经营关联度比较高，</w:t>
      </w:r>
      <w:r>
        <w:rPr>
          <w:rFonts w:hint="eastAsia" w:ascii="仿宋_GB2312" w:hAnsi="宋体" w:eastAsia="仿宋_GB2312"/>
          <w:color w:val="auto"/>
          <w:sz w:val="32"/>
          <w:szCs w:val="32"/>
          <w:highlight w:val="none"/>
          <w:lang w:val="en-US" w:eastAsia="zh-CN"/>
        </w:rPr>
        <w:t>投</w:t>
      </w:r>
      <w:r>
        <w:rPr>
          <w:rFonts w:hint="eastAsia" w:ascii="仿宋_GB2312" w:hAnsi="宋体" w:eastAsia="仿宋_GB2312"/>
          <w:color w:val="auto"/>
          <w:sz w:val="32"/>
          <w:szCs w:val="32"/>
          <w:highlight w:val="none"/>
        </w:rPr>
        <w:t>标单位需缴纳</w:t>
      </w:r>
      <w:r>
        <w:rPr>
          <w:rFonts w:hint="eastAsia" w:ascii="仿宋_GB2312" w:hAnsi="宋体" w:eastAsia="仿宋_GB2312"/>
          <w:color w:val="auto"/>
          <w:sz w:val="32"/>
          <w:szCs w:val="32"/>
          <w:highlight w:val="none"/>
          <w:lang w:val="en-US" w:eastAsia="zh-CN"/>
        </w:rPr>
        <w:t>投标</w:t>
      </w:r>
      <w:r>
        <w:rPr>
          <w:rFonts w:hint="eastAsia" w:ascii="仿宋_GB2312" w:hAnsi="宋体" w:eastAsia="仿宋_GB2312"/>
          <w:color w:val="auto"/>
          <w:sz w:val="32"/>
          <w:szCs w:val="32"/>
          <w:highlight w:val="none"/>
        </w:rPr>
        <w:t>保证金</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7万</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。如因中标人原因不能履行合同义务或不签订合同的，保证金不予退还。</w:t>
      </w:r>
    </w:p>
    <w:p w14:paraId="40918561">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山东钢铁股份有限公司的招标保证金收款账户</w:t>
      </w:r>
    </w:p>
    <w:p w14:paraId="32FDE3F7">
      <w:pPr>
        <w:spacing w:line="560" w:lineRule="exact"/>
        <w:ind w:firstLine="1600" w:firstLineChars="500"/>
        <w:rPr>
          <w:rFonts w:ascii="仿宋" w:hAnsi="仿宋" w:eastAsia="仿宋" w:cs="仿宋"/>
          <w:sz w:val="32"/>
          <w:szCs w:val="32"/>
        </w:rPr>
      </w:pPr>
      <w:r>
        <w:rPr>
          <w:rFonts w:hint="eastAsia" w:ascii="仿宋" w:hAnsi="仿宋" w:eastAsia="仿宋" w:cs="仿宋"/>
          <w:sz w:val="32"/>
          <w:szCs w:val="32"/>
        </w:rPr>
        <w:t>开户行：兴业银行济南分行营业部</w:t>
      </w:r>
    </w:p>
    <w:p w14:paraId="09144CF7">
      <w:pPr>
        <w:spacing w:line="560" w:lineRule="exact"/>
        <w:ind w:firstLine="1600" w:firstLineChars="500"/>
        <w:rPr>
          <w:rFonts w:ascii="仿宋" w:hAnsi="仿宋" w:eastAsia="仿宋" w:cs="仿宋"/>
          <w:sz w:val="32"/>
          <w:szCs w:val="32"/>
        </w:rPr>
      </w:pPr>
      <w:r>
        <w:rPr>
          <w:rFonts w:hint="eastAsia" w:ascii="仿宋" w:hAnsi="仿宋" w:eastAsia="仿宋" w:cs="仿宋"/>
          <w:sz w:val="32"/>
          <w:szCs w:val="32"/>
        </w:rPr>
        <w:t>行号：</w:t>
      </w:r>
      <w:r>
        <w:rPr>
          <w:rFonts w:hint="eastAsia" w:ascii="仿宋" w:hAnsi="仿宋" w:eastAsia="仿宋" w:cs="仿宋"/>
          <w:bCs/>
          <w:color w:val="000000"/>
          <w:sz w:val="32"/>
          <w:szCs w:val="32"/>
          <w:shd w:val="clear" w:color="auto" w:fill="FFFFFF"/>
        </w:rPr>
        <w:t>309451013000</w:t>
      </w:r>
    </w:p>
    <w:p w14:paraId="6F1DF3D8">
      <w:pPr>
        <w:spacing w:line="560" w:lineRule="exact"/>
        <w:ind w:firstLine="1600" w:firstLineChars="500"/>
        <w:rPr>
          <w:rFonts w:hint="eastAsia" w:ascii="仿宋_GB2312" w:hAnsi="宋体" w:eastAsia="仿宋_GB2312"/>
          <w:sz w:val="32"/>
          <w:szCs w:val="32"/>
          <w:highlight w:val="none"/>
          <w:lang w:val="en-US" w:eastAsia="zh-CN"/>
        </w:rPr>
      </w:pPr>
      <w:r>
        <w:rPr>
          <w:rFonts w:hint="eastAsia" w:ascii="仿宋" w:hAnsi="仿宋" w:eastAsia="仿宋" w:cs="仿宋"/>
          <w:sz w:val="32"/>
          <w:szCs w:val="32"/>
        </w:rPr>
        <w:t>账号：376010101100006482</w:t>
      </w:r>
    </w:p>
    <w:p w14:paraId="4FFD1668">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eastAsia" w:ascii="黑体" w:hAnsi="黑体" w:eastAsia="黑体" w:cs="宋体"/>
          <w:sz w:val="32"/>
          <w:szCs w:val="32"/>
        </w:rPr>
      </w:pPr>
      <w:r>
        <w:rPr>
          <w:rFonts w:hint="eastAsia" w:ascii="黑体" w:hAnsi="黑体" w:eastAsia="黑体" w:cs="宋体"/>
          <w:color w:val="auto"/>
          <w:kern w:val="0"/>
          <w:sz w:val="32"/>
          <w:szCs w:val="32"/>
          <w:lang w:val="en-US" w:eastAsia="zh-CN"/>
        </w:rPr>
        <w:t>十.</w:t>
      </w:r>
      <w:r>
        <w:rPr>
          <w:rFonts w:hint="eastAsia" w:ascii="黑体" w:hAnsi="黑体" w:eastAsia="黑体" w:cs="宋体"/>
          <w:color w:val="auto"/>
          <w:kern w:val="0"/>
          <w:sz w:val="32"/>
          <w:szCs w:val="32"/>
        </w:rPr>
        <w:t>决标方式</w:t>
      </w:r>
    </w:p>
    <w:p w14:paraId="5CB5DF19">
      <w:pPr>
        <w:keepNext w:val="0"/>
        <w:keepLines w:val="0"/>
        <w:pageBreakBefore w:val="0"/>
        <w:tabs>
          <w:tab w:val="left" w:pos="993"/>
        </w:tabs>
        <w:kinsoku/>
        <w:wordWrap/>
        <w:overflowPunct/>
        <w:topLinePunct w:val="0"/>
        <w:autoSpaceDE/>
        <w:autoSpaceDN/>
        <w:bidi w:val="0"/>
        <w:spacing w:line="560" w:lineRule="exact"/>
        <w:ind w:left="0" w:leftChars="0" w:firstLine="640" w:firstLineChars="200"/>
        <w:jc w:val="both"/>
        <w:textAlignment w:val="auto"/>
        <w:rPr>
          <w:rFonts w:hint="eastAsia" w:ascii="仿宋_GB2312" w:hAnsi="宋体" w:eastAsia="楷体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一）</w:t>
      </w:r>
      <w:r>
        <w:rPr>
          <w:rFonts w:hint="eastAsia" w:ascii="楷体_GB2312" w:hAnsi="黑体" w:eastAsia="楷体_GB2312" w:cs="Times New Roman"/>
          <w:kern w:val="2"/>
          <w:sz w:val="32"/>
          <w:szCs w:val="32"/>
          <w:lang w:val="en-US" w:eastAsia="zh-CN" w:bidi="ar-SA"/>
        </w:rPr>
        <w:t>评标方法：</w:t>
      </w:r>
      <w:r>
        <w:rPr>
          <w:rFonts w:hint="eastAsia" w:ascii="仿宋_GB2312" w:hAnsi="宋体" w:eastAsia="仿宋_GB2312"/>
          <w:sz w:val="32"/>
          <w:szCs w:val="32"/>
          <w:lang w:eastAsia="zh-CN"/>
        </w:rPr>
        <w:t>合理低价法</w:t>
      </w:r>
    </w:p>
    <w:p w14:paraId="7CFDC128">
      <w:pPr>
        <w:keepNext w:val="0"/>
        <w:keepLines w:val="0"/>
        <w:pageBreakBefore w:val="0"/>
        <w:tabs>
          <w:tab w:val="left" w:pos="993"/>
        </w:tabs>
        <w:kinsoku/>
        <w:wordWrap/>
        <w:overflowPunct/>
        <w:topLinePunct w:val="0"/>
        <w:bidi w:val="0"/>
        <w:spacing w:line="560" w:lineRule="exact"/>
        <w:ind w:leftChars="0" w:firstLine="640" w:firstLineChars="200"/>
        <w:rPr>
          <w:rFonts w:hint="eastAsia" w:ascii="仿宋_GB2312" w:hAnsi="仿宋_GB2312" w:eastAsia="仿宋_GB2312" w:cs="仿宋_GB2312"/>
          <w:color w:val="00B0F0"/>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中标单位确定：</w:t>
      </w:r>
      <w:r>
        <w:rPr>
          <w:rFonts w:hint="eastAsia" w:ascii="仿宋_GB2312" w:hAnsi="仿宋_GB2312" w:eastAsia="仿宋_GB2312" w:cs="仿宋_GB2312"/>
          <w:sz w:val="32"/>
          <w:szCs w:val="32"/>
        </w:rPr>
        <w:t>根据投标报价情况，选择一家</w:t>
      </w:r>
      <w:r>
        <w:rPr>
          <w:rFonts w:hint="eastAsia" w:ascii="仿宋_GB2312" w:hAnsi="仿宋_GB2312" w:eastAsia="仿宋_GB2312" w:cs="仿宋_GB2312"/>
          <w:sz w:val="32"/>
          <w:szCs w:val="32"/>
          <w:lang w:val="en-US" w:eastAsia="zh-CN"/>
        </w:rPr>
        <w:t>总价</w:t>
      </w:r>
      <w:r>
        <w:rPr>
          <w:rFonts w:hint="eastAsia" w:ascii="仿宋_GB2312" w:hAnsi="仿宋_GB2312" w:eastAsia="仿宋_GB2312" w:cs="仿宋_GB2312"/>
          <w:sz w:val="32"/>
          <w:szCs w:val="32"/>
        </w:rPr>
        <w:t>最低且合理的投标人作为中标候选人；当出现并列时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内部协同“白名单”单位在并列范围内，优先作为中标候选人），其他单位</w:t>
      </w:r>
      <w:r>
        <w:rPr>
          <w:rFonts w:hint="eastAsia" w:ascii="仿宋_GB2312" w:hAnsi="仿宋_GB2312" w:eastAsia="仿宋_GB2312" w:cs="仿宋_GB2312"/>
          <w:sz w:val="32"/>
          <w:szCs w:val="32"/>
        </w:rPr>
        <w:t>通过谈判等方式确定一名中标候选人，经谈判等方式报价仍并列的，根据投标人的综合实力确定一家中标单位。</w:t>
      </w:r>
    </w:p>
    <w:p w14:paraId="4099E26C">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eastAsia" w:ascii="黑体" w:hAnsi="黑体" w:eastAsia="黑体" w:cs="宋体"/>
          <w:sz w:val="32"/>
          <w:szCs w:val="32"/>
          <w:lang w:val="en-US" w:eastAsia="zh-CN"/>
        </w:rPr>
      </w:pPr>
      <w:r>
        <w:rPr>
          <w:rFonts w:hint="eastAsia" w:ascii="黑体" w:hAnsi="黑体" w:eastAsia="黑体" w:cs="宋体"/>
          <w:sz w:val="32"/>
          <w:szCs w:val="32"/>
        </w:rPr>
        <w:t>十</w:t>
      </w:r>
      <w:r>
        <w:rPr>
          <w:rFonts w:hint="eastAsia" w:ascii="黑体" w:hAnsi="黑体" w:eastAsia="黑体" w:cs="宋体"/>
          <w:sz w:val="32"/>
          <w:szCs w:val="32"/>
          <w:lang w:val="en-US" w:eastAsia="zh-CN"/>
        </w:rPr>
        <w:t>.</w:t>
      </w:r>
      <w:r>
        <w:rPr>
          <w:rFonts w:hint="eastAsia" w:ascii="黑体" w:hAnsi="黑体" w:eastAsia="黑体" w:cs="宋体"/>
          <w:sz w:val="32"/>
          <w:szCs w:val="32"/>
        </w:rPr>
        <w:t>招标文件澄清或答疑</w:t>
      </w:r>
      <w:r>
        <w:rPr>
          <w:rFonts w:hint="eastAsia" w:ascii="黑体" w:hAnsi="黑体" w:eastAsia="黑体" w:cs="宋体"/>
          <w:sz w:val="32"/>
          <w:szCs w:val="32"/>
          <w:lang w:val="en-US" w:eastAsia="zh-CN"/>
        </w:rPr>
        <w:t xml:space="preserve"> </w:t>
      </w:r>
    </w:p>
    <w:p w14:paraId="46F2E48A">
      <w:pPr>
        <w:keepNext w:val="0"/>
        <w:keepLines w:val="0"/>
        <w:pageBreakBefore w:val="0"/>
        <w:tabs>
          <w:tab w:val="left" w:pos="993"/>
        </w:tabs>
        <w:kinsoku/>
        <w:wordWrap/>
        <w:overflowPunct/>
        <w:topLinePunct w:val="0"/>
        <w:autoSpaceDE/>
        <w:autoSpaceDN/>
        <w:bidi w:val="0"/>
        <w:spacing w:line="560" w:lineRule="exact"/>
        <w:ind w:left="0" w:leftChars="0" w:firstLine="640" w:firstLineChars="200"/>
        <w:jc w:val="both"/>
        <w:textAlignment w:val="auto"/>
        <w:rPr>
          <w:rFonts w:ascii="仿宋_GB2312" w:eastAsia="仿宋_GB2312"/>
          <w:sz w:val="32"/>
          <w:szCs w:val="32"/>
        </w:rPr>
      </w:pPr>
      <w:r>
        <w:rPr>
          <w:rFonts w:hint="eastAsia" w:ascii="仿宋_GB2312" w:hAnsi="宋体" w:eastAsia="仿宋_GB2312" w:cs="宋体"/>
          <w:sz w:val="32"/>
          <w:szCs w:val="32"/>
        </w:rPr>
        <w:t>（一）在投标截止日前，</w:t>
      </w:r>
      <w:r>
        <w:rPr>
          <w:rFonts w:hint="eastAsia" w:ascii="仿宋_GB2312" w:hAnsi="宋体" w:eastAsia="仿宋_GB2312" w:cs="宋体"/>
          <w:sz w:val="32"/>
          <w:szCs w:val="32"/>
          <w:lang w:val="en-US" w:eastAsia="zh-CN"/>
        </w:rPr>
        <w:t>投标人可进行</w:t>
      </w:r>
      <w:r>
        <w:rPr>
          <w:rFonts w:hint="eastAsia" w:ascii="仿宋_GB2312" w:hAnsi="宋体" w:eastAsia="仿宋_GB2312" w:cs="宋体"/>
          <w:sz w:val="32"/>
          <w:szCs w:val="32"/>
        </w:rPr>
        <w:t>现场踏勘、技术交流。</w:t>
      </w:r>
    </w:p>
    <w:p w14:paraId="3D60D79F">
      <w:pPr>
        <w:keepNext w:val="0"/>
        <w:keepLines w:val="0"/>
        <w:pageBreakBefore w:val="0"/>
        <w:tabs>
          <w:tab w:val="left" w:pos="993"/>
        </w:tabs>
        <w:kinsoku/>
        <w:wordWrap/>
        <w:overflowPunct/>
        <w:topLinePunct w:val="0"/>
        <w:autoSpaceDE/>
        <w:autoSpaceDN/>
        <w:bidi w:val="0"/>
        <w:spacing w:line="560" w:lineRule="exact"/>
        <w:ind w:left="0" w:leftChars="0" w:firstLine="640" w:firstLineChars="200"/>
        <w:jc w:val="both"/>
        <w:textAlignment w:val="auto"/>
        <w:rPr>
          <w:rFonts w:ascii="仿宋_GB2312" w:eastAsia="仿宋_GB2312"/>
          <w:sz w:val="32"/>
          <w:szCs w:val="32"/>
        </w:rPr>
      </w:pPr>
      <w:r>
        <w:rPr>
          <w:rFonts w:hint="eastAsia" w:ascii="仿宋_GB2312" w:hAnsi="宋体" w:eastAsia="仿宋_GB2312" w:cs="宋体"/>
          <w:sz w:val="32"/>
          <w:szCs w:val="32"/>
        </w:rPr>
        <w:t>（二）请潜在投标人每日登陆山钢</w:t>
      </w:r>
      <w:r>
        <w:rPr>
          <w:rFonts w:hint="eastAsia" w:ascii="仿宋_GB2312" w:hAnsi="宋体" w:eastAsia="仿宋_GB2312" w:cs="宋体"/>
          <w:sz w:val="32"/>
          <w:szCs w:val="32"/>
          <w:lang w:val="en-US" w:eastAsia="zh-CN"/>
        </w:rPr>
        <w:t>阳光购销</w:t>
      </w:r>
      <w:r>
        <w:rPr>
          <w:rFonts w:hint="eastAsia" w:ascii="仿宋_GB2312" w:hAnsi="宋体" w:eastAsia="仿宋_GB2312" w:cs="宋体"/>
          <w:sz w:val="32"/>
          <w:szCs w:val="32"/>
        </w:rPr>
        <w:t>平台(bams.shansteelgroup.com)用注册的用户名查找是否有招标澄清或补充文件及现场澄清通知等信息，招标人不再单独通知，怠于登陆造成的后果由潜在投保人承担。</w:t>
      </w:r>
    </w:p>
    <w:p w14:paraId="0F42295C">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ascii="黑体" w:hAnsi="黑体" w:eastAsia="黑体" w:cs="宋体"/>
          <w:sz w:val="32"/>
          <w:szCs w:val="32"/>
        </w:rPr>
      </w:pPr>
      <w:r>
        <w:rPr>
          <w:rFonts w:hint="eastAsia" w:ascii="黑体" w:hAnsi="黑体" w:eastAsia="黑体" w:cs="宋体"/>
          <w:sz w:val="32"/>
          <w:szCs w:val="32"/>
        </w:rPr>
        <w:t>十</w:t>
      </w:r>
      <w:r>
        <w:rPr>
          <w:rFonts w:hint="eastAsia" w:ascii="黑体" w:hAnsi="黑体" w:eastAsia="黑体" w:cs="宋体"/>
          <w:sz w:val="32"/>
          <w:szCs w:val="32"/>
          <w:lang w:val="en-US" w:eastAsia="zh-CN"/>
        </w:rPr>
        <w:t>一.</w:t>
      </w:r>
      <w:r>
        <w:rPr>
          <w:rFonts w:hint="eastAsia" w:ascii="黑体" w:hAnsi="黑体" w:eastAsia="黑体" w:cs="宋体"/>
          <w:sz w:val="32"/>
          <w:szCs w:val="32"/>
        </w:rPr>
        <w:t>招标联系人及联系方式</w:t>
      </w:r>
    </w:p>
    <w:p w14:paraId="376B0D66">
      <w:pPr>
        <w:keepNext w:val="0"/>
        <w:keepLines w:val="0"/>
        <w:pageBreakBefore w:val="0"/>
        <w:tabs>
          <w:tab w:val="left" w:pos="993"/>
        </w:tabs>
        <w:kinsoku/>
        <w:wordWrap/>
        <w:overflowPunct/>
        <w:topLinePunct w:val="0"/>
        <w:autoSpaceDE/>
        <w:autoSpaceDN/>
        <w:bidi w:val="0"/>
        <w:spacing w:line="560" w:lineRule="exact"/>
        <w:ind w:left="0" w:firstLine="640" w:firstLineChars="200"/>
        <w:jc w:val="both"/>
        <w:textAlignment w:val="auto"/>
        <w:rPr>
          <w:rFonts w:hint="default" w:ascii="仿宋_GB2312" w:hAnsi="宋体" w:eastAsia="仿宋_GB2312" w:cs="宋体"/>
          <w:sz w:val="32"/>
          <w:szCs w:val="32"/>
          <w:lang w:val="en-US" w:eastAsia="zh-CN"/>
        </w:rPr>
      </w:pPr>
      <w:r>
        <w:rPr>
          <w:rFonts w:hint="eastAsia" w:ascii="仿宋_GB2312" w:eastAsia="仿宋_GB2312" w:cs="宋体"/>
          <w:sz w:val="32"/>
          <w:szCs w:val="32"/>
          <w:lang w:val="en-US" w:eastAsia="zh-CN"/>
        </w:rPr>
        <w:t>李</w:t>
      </w:r>
      <w:r>
        <w:rPr>
          <w:rFonts w:hint="eastAsia" w:ascii="仿宋_GB2312" w:eastAsia="仿宋_GB2312" w:cs="宋体"/>
          <w:sz w:val="32"/>
          <w:szCs w:val="32"/>
        </w:rPr>
        <w:t xml:space="preserve">先生     </w:t>
      </w:r>
      <w:r>
        <w:rPr>
          <w:rFonts w:hint="eastAsia" w:ascii="仿宋_GB2312" w:hAnsi="宋体" w:eastAsia="仿宋_GB2312" w:cs="宋体"/>
          <w:sz w:val="32"/>
          <w:szCs w:val="32"/>
        </w:rPr>
        <w:t>0531</w:t>
      </w:r>
      <w:r>
        <w:rPr>
          <w:rFonts w:hint="eastAsia" w:ascii="仿宋_GB2312" w:eastAsia="仿宋_GB2312" w:cs="宋体"/>
          <w:sz w:val="32"/>
          <w:szCs w:val="32"/>
        </w:rPr>
        <w:t>-7</w:t>
      </w:r>
      <w:r>
        <w:rPr>
          <w:rFonts w:hint="eastAsia" w:ascii="仿宋_GB2312" w:hAnsi="宋体" w:eastAsia="仿宋_GB2312" w:cs="宋体"/>
          <w:sz w:val="32"/>
          <w:szCs w:val="32"/>
        </w:rPr>
        <w:t>6923</w:t>
      </w:r>
      <w:r>
        <w:rPr>
          <w:rFonts w:hint="eastAsia" w:ascii="仿宋_GB2312" w:hAnsi="宋体" w:eastAsia="仿宋_GB2312" w:cs="宋体"/>
          <w:sz w:val="32"/>
          <w:szCs w:val="32"/>
          <w:lang w:val="en-US" w:eastAsia="zh-CN"/>
        </w:rPr>
        <w:t>196</w:t>
      </w:r>
    </w:p>
    <w:p w14:paraId="42421D52">
      <w:pPr>
        <w:keepNext w:val="0"/>
        <w:keepLines w:val="0"/>
        <w:pageBreakBefore w:val="0"/>
        <w:tabs>
          <w:tab w:val="left" w:pos="993"/>
        </w:tabs>
        <w:kinsoku/>
        <w:wordWrap/>
        <w:overflowPunct/>
        <w:topLinePunct w:val="0"/>
        <w:autoSpaceDE/>
        <w:autoSpaceDN/>
        <w:bidi w:val="0"/>
        <w:spacing w:line="560" w:lineRule="exact"/>
        <w:ind w:left="0" w:firstLine="640" w:firstLineChars="200"/>
        <w:jc w:val="both"/>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eastAsia="zh-CN"/>
        </w:rPr>
        <w:t>衣</w:t>
      </w:r>
      <w:r>
        <w:rPr>
          <w:rFonts w:hint="eastAsia" w:ascii="仿宋_GB2312" w:hAnsi="宋体" w:eastAsia="仿宋_GB2312" w:cs="宋体"/>
          <w:sz w:val="32"/>
          <w:szCs w:val="32"/>
        </w:rPr>
        <w:t>先生     0531</w:t>
      </w:r>
      <w:r>
        <w:rPr>
          <w:rFonts w:hint="eastAsia" w:ascii="仿宋_GB2312" w:eastAsia="仿宋_GB2312" w:cs="宋体"/>
          <w:sz w:val="32"/>
          <w:szCs w:val="32"/>
        </w:rPr>
        <w:t>-7</w:t>
      </w:r>
      <w:r>
        <w:rPr>
          <w:rFonts w:hint="eastAsia" w:ascii="仿宋_GB2312" w:hAnsi="宋体" w:eastAsia="仿宋_GB2312" w:cs="宋体"/>
          <w:sz w:val="32"/>
          <w:szCs w:val="32"/>
        </w:rPr>
        <w:t>68</w:t>
      </w:r>
      <w:r>
        <w:rPr>
          <w:rFonts w:hint="eastAsia" w:ascii="仿宋_GB2312" w:hAnsi="宋体" w:eastAsia="仿宋_GB2312" w:cs="宋体"/>
          <w:sz w:val="32"/>
          <w:szCs w:val="32"/>
          <w:lang w:val="en-US" w:eastAsia="zh-CN"/>
        </w:rPr>
        <w:t>29369</w:t>
      </w:r>
    </w:p>
    <w:p w14:paraId="7BDB710A">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ascii="黑体" w:hAnsi="黑体" w:eastAsia="黑体" w:cs="宋体"/>
          <w:sz w:val="32"/>
          <w:szCs w:val="32"/>
        </w:rPr>
      </w:pPr>
      <w:r>
        <w:rPr>
          <w:rFonts w:hint="eastAsia" w:ascii="黑体" w:hAnsi="黑体" w:eastAsia="黑体" w:cs="宋体"/>
          <w:sz w:val="32"/>
          <w:szCs w:val="32"/>
        </w:rPr>
        <w:t>十</w:t>
      </w:r>
      <w:r>
        <w:rPr>
          <w:rFonts w:hint="eastAsia" w:ascii="黑体" w:hAnsi="黑体" w:eastAsia="黑体" w:cs="宋体"/>
          <w:sz w:val="32"/>
          <w:szCs w:val="32"/>
          <w:lang w:val="en-US" w:eastAsia="zh-CN"/>
        </w:rPr>
        <w:t>二.</w:t>
      </w:r>
      <w:r>
        <w:rPr>
          <w:rFonts w:hint="eastAsia" w:ascii="黑体" w:hAnsi="黑体" w:eastAsia="黑体" w:cs="宋体"/>
          <w:sz w:val="32"/>
          <w:szCs w:val="32"/>
        </w:rPr>
        <w:t>投标有关要求</w:t>
      </w:r>
    </w:p>
    <w:p w14:paraId="5CD0CB33">
      <w:pPr>
        <w:keepNext w:val="0"/>
        <w:keepLines w:val="0"/>
        <w:pageBreakBefore w:val="0"/>
        <w:numPr>
          <w:ilvl w:val="0"/>
          <w:numId w:val="3"/>
        </w:numPr>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按照时间、节点要求报名，逾期者不能参与</w:t>
      </w:r>
      <w:r>
        <w:rPr>
          <w:rFonts w:ascii="仿宋_GB2312" w:hAnsi="宋体" w:eastAsia="仿宋_GB2312"/>
          <w:sz w:val="32"/>
          <w:szCs w:val="32"/>
        </w:rPr>
        <w:t>本次投标</w:t>
      </w:r>
      <w:r>
        <w:rPr>
          <w:rFonts w:hint="eastAsia" w:ascii="仿宋_GB2312" w:hAnsi="宋体" w:eastAsia="仿宋_GB2312"/>
          <w:sz w:val="32"/>
          <w:szCs w:val="32"/>
        </w:rPr>
        <w:t>。</w:t>
      </w:r>
    </w:p>
    <w:p w14:paraId="0F4A6526">
      <w:pPr>
        <w:keepNext w:val="0"/>
        <w:keepLines w:val="0"/>
        <w:pageBreakBefore w:val="0"/>
        <w:numPr>
          <w:ilvl w:val="0"/>
          <w:numId w:val="3"/>
        </w:numPr>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提供单位</w:t>
      </w:r>
      <w:r>
        <w:rPr>
          <w:rFonts w:hint="eastAsia" w:ascii="仿宋_GB2312" w:hAnsi="宋体" w:eastAsia="仿宋_GB2312"/>
          <w:sz w:val="32"/>
          <w:szCs w:val="32"/>
          <w:lang w:eastAsia="zh-CN"/>
        </w:rPr>
        <w:t>等</w:t>
      </w:r>
      <w:r>
        <w:rPr>
          <w:rFonts w:hint="eastAsia" w:ascii="仿宋_GB2312" w:hAnsi="宋体" w:eastAsia="仿宋_GB2312"/>
          <w:sz w:val="32"/>
          <w:szCs w:val="32"/>
        </w:rPr>
        <w:t>证明材料</w:t>
      </w:r>
      <w:r>
        <w:rPr>
          <w:rFonts w:hint="eastAsia" w:ascii="仿宋_GB2312" w:hAnsi="宋体" w:eastAsia="仿宋_GB2312"/>
          <w:sz w:val="32"/>
          <w:szCs w:val="32"/>
          <w:lang w:eastAsia="zh-CN"/>
        </w:rPr>
        <w:t>要</w:t>
      </w:r>
      <w:r>
        <w:rPr>
          <w:rFonts w:hint="eastAsia" w:ascii="仿宋_GB2312" w:hAnsi="宋体" w:eastAsia="仿宋_GB2312"/>
          <w:sz w:val="32"/>
          <w:szCs w:val="32"/>
        </w:rPr>
        <w:t>清楚、完整、合法并加盖单位公章，发现弄虚作假者取消资格。</w:t>
      </w:r>
    </w:p>
    <w:p w14:paraId="2D96367B">
      <w:pPr>
        <w:keepNext w:val="0"/>
        <w:keepLines w:val="0"/>
        <w:pageBreakBefore w:val="0"/>
        <w:numPr>
          <w:ilvl w:val="0"/>
          <w:numId w:val="3"/>
        </w:numPr>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在投标期间，违反有关廉洁规定，向有关工作招标人员行贿、赠送钱物，经查证属实（有关人员按规定处理），取消投标及中标资格并今后永不允许投标；在招标过程中串标、恶意竞标的取消中标资格。</w:t>
      </w:r>
    </w:p>
    <w:p w14:paraId="2F047B8D">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left"/>
        <w:textAlignment w:val="auto"/>
        <w:rPr>
          <w:rFonts w:ascii="黑体" w:hAnsi="黑体" w:eastAsia="黑体" w:cs="宋体"/>
          <w:sz w:val="32"/>
          <w:szCs w:val="32"/>
        </w:rPr>
      </w:pPr>
      <w:r>
        <w:rPr>
          <w:rFonts w:hint="eastAsia" w:ascii="黑体" w:hAnsi="黑体" w:eastAsia="黑体" w:cs="宋体"/>
          <w:sz w:val="32"/>
          <w:szCs w:val="32"/>
        </w:rPr>
        <w:t>十</w:t>
      </w:r>
      <w:r>
        <w:rPr>
          <w:rFonts w:hint="eastAsia" w:ascii="黑体" w:hAnsi="黑体" w:eastAsia="黑体" w:cs="宋体"/>
          <w:sz w:val="32"/>
          <w:szCs w:val="32"/>
          <w:lang w:val="en-US" w:eastAsia="zh-CN"/>
        </w:rPr>
        <w:t>三.</w:t>
      </w:r>
      <w:r>
        <w:rPr>
          <w:rFonts w:hint="eastAsia" w:ascii="黑体" w:hAnsi="黑体" w:eastAsia="黑体" w:cs="宋体"/>
          <w:sz w:val="32"/>
          <w:szCs w:val="32"/>
        </w:rPr>
        <w:t>投标有关表格</w:t>
      </w:r>
    </w:p>
    <w:p w14:paraId="50A6B6FC">
      <w:pPr>
        <w:tabs>
          <w:tab w:val="left" w:pos="993"/>
        </w:tabs>
        <w:spacing w:line="56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附表1、报价表</w:t>
      </w:r>
    </w:p>
    <w:p w14:paraId="45DA88C6">
      <w:pPr>
        <w:tabs>
          <w:tab w:val="left" w:pos="993"/>
        </w:tabs>
        <w:spacing w:line="560" w:lineRule="exact"/>
        <w:ind w:firstLine="640" w:firstLineChars="200"/>
        <w:rPr>
          <w:rFonts w:hint="eastAsia" w:ascii="仿宋" w:hAnsi="仿宋" w:eastAsia="仿宋" w:cs="黑体"/>
          <w:sz w:val="32"/>
          <w:szCs w:val="32"/>
        </w:rPr>
      </w:pPr>
    </w:p>
    <w:p w14:paraId="3B914404">
      <w:pPr>
        <w:tabs>
          <w:tab w:val="left" w:pos="993"/>
        </w:tabs>
        <w:spacing w:line="560" w:lineRule="exact"/>
        <w:jc w:val="right"/>
        <w:rPr>
          <w:rFonts w:hint="eastAsia" w:ascii="仿宋" w:hAnsi="仿宋" w:eastAsia="仿宋" w:cs="黑体"/>
          <w:sz w:val="32"/>
          <w:szCs w:val="32"/>
          <w:lang w:val="en-US" w:eastAsia="zh-CN"/>
        </w:rPr>
      </w:pPr>
      <w:r>
        <w:rPr>
          <w:rFonts w:hint="eastAsia" w:ascii="仿宋" w:hAnsi="仿宋" w:eastAsia="仿宋" w:cs="黑体"/>
          <w:sz w:val="32"/>
          <w:szCs w:val="32"/>
          <w:lang w:val="en-US" w:eastAsia="zh-CN"/>
        </w:rPr>
        <w:t>山东钢铁股份有限公司</w:t>
      </w:r>
    </w:p>
    <w:p w14:paraId="19CBCAF9">
      <w:pPr>
        <w:tabs>
          <w:tab w:val="left" w:pos="993"/>
        </w:tabs>
        <w:spacing w:line="560" w:lineRule="exact"/>
        <w:ind w:firstLine="640" w:firstLineChars="200"/>
        <w:jc w:val="right"/>
        <w:rPr>
          <w:rFonts w:hint="default" w:ascii="仿宋" w:hAnsi="仿宋" w:eastAsia="仿宋" w:cs="黑体"/>
          <w:sz w:val="32"/>
          <w:szCs w:val="32"/>
          <w:lang w:val="en-US" w:eastAsia="zh-CN"/>
        </w:rPr>
      </w:pPr>
      <w:r>
        <w:rPr>
          <w:rFonts w:hint="eastAsia" w:ascii="仿宋" w:hAnsi="仿宋" w:eastAsia="仿宋" w:cs="黑体"/>
          <w:sz w:val="32"/>
          <w:szCs w:val="32"/>
          <w:lang w:val="en-US" w:eastAsia="zh-CN"/>
        </w:rPr>
        <w:t>2025年11月10日</w:t>
      </w:r>
    </w:p>
    <w:p w14:paraId="13DE6DA5">
      <w:pPr>
        <w:tabs>
          <w:tab w:val="left" w:pos="993"/>
        </w:tabs>
        <w:jc w:val="both"/>
        <w:rPr>
          <w:rFonts w:ascii="仿宋_GB2312" w:hAnsi="宋体" w:eastAsia="仿宋_GB2312" w:cs="宋体"/>
          <w:sz w:val="32"/>
          <w:szCs w:val="32"/>
        </w:rPr>
      </w:pPr>
    </w:p>
    <w:p w14:paraId="19024D8C">
      <w:pPr>
        <w:tabs>
          <w:tab w:val="left" w:pos="993"/>
        </w:tabs>
        <w:wordWrap w:val="0"/>
        <w:spacing w:line="520" w:lineRule="exact"/>
        <w:rPr>
          <w:rFonts w:hint="eastAsia" w:ascii="仿宋" w:hAnsi="仿宋" w:eastAsia="仿宋" w:cs="宋体"/>
          <w:b/>
          <w:bCs/>
          <w:sz w:val="32"/>
          <w:szCs w:val="32"/>
        </w:rPr>
      </w:pPr>
    </w:p>
    <w:p w14:paraId="0BADD647">
      <w:pPr>
        <w:tabs>
          <w:tab w:val="left" w:pos="993"/>
        </w:tabs>
        <w:wordWrap w:val="0"/>
        <w:spacing w:line="520" w:lineRule="exact"/>
        <w:rPr>
          <w:rFonts w:hint="eastAsia" w:ascii="仿宋" w:hAnsi="仿宋" w:eastAsia="仿宋" w:cs="宋体"/>
          <w:b/>
          <w:bCs/>
          <w:sz w:val="32"/>
          <w:szCs w:val="32"/>
        </w:rPr>
      </w:pPr>
    </w:p>
    <w:p w14:paraId="3F37F6EF">
      <w:pPr>
        <w:tabs>
          <w:tab w:val="left" w:pos="993"/>
        </w:tabs>
        <w:wordWrap w:val="0"/>
        <w:spacing w:line="520" w:lineRule="exact"/>
        <w:rPr>
          <w:rFonts w:ascii="仿宋_GB2312" w:hAnsi="宋体" w:eastAsia="仿宋_GB2312" w:cs="宋体"/>
          <w:sz w:val="32"/>
          <w:szCs w:val="32"/>
        </w:rPr>
      </w:pPr>
      <w:r>
        <w:rPr>
          <w:rFonts w:hint="eastAsia" w:ascii="仿宋" w:hAnsi="仿宋" w:eastAsia="仿宋" w:cs="宋体"/>
          <w:b/>
          <w:bCs/>
          <w:sz w:val="32"/>
          <w:szCs w:val="32"/>
        </w:rPr>
        <w:t>附表1：</w:t>
      </w:r>
      <w:r>
        <w:rPr>
          <w:rFonts w:hint="eastAsia" w:ascii="仿宋" w:hAnsi="仿宋" w:eastAsia="仿宋"/>
          <w:b/>
          <w:bCs/>
          <w:sz w:val="32"/>
          <w:szCs w:val="32"/>
        </w:rPr>
        <w:t>报价表</w:t>
      </w:r>
    </w:p>
    <w:tbl>
      <w:tblPr>
        <w:tblStyle w:val="5"/>
        <w:tblW w:w="91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3265"/>
        <w:gridCol w:w="1290"/>
        <w:gridCol w:w="1350"/>
        <w:gridCol w:w="1605"/>
        <w:gridCol w:w="1215"/>
      </w:tblGrid>
      <w:tr w14:paraId="0B49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918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626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山东钢铁股份有限公司炼钢厂废钢、渣钢切割业务报价单</w:t>
            </w:r>
          </w:p>
        </w:tc>
      </w:tr>
      <w:tr w14:paraId="47C70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BF15">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序号</w:t>
            </w:r>
          </w:p>
        </w:tc>
        <w:tc>
          <w:tcPr>
            <w:tcW w:w="3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073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标的</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6E4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现行价</w:t>
            </w:r>
          </w:p>
          <w:p w14:paraId="31B422D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（元/吨）</w:t>
            </w:r>
          </w:p>
        </w:tc>
        <w:tc>
          <w:tcPr>
            <w:tcW w:w="13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42C970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报价</w:t>
            </w:r>
          </w:p>
          <w:p w14:paraId="0A2E326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（元/吨）</w:t>
            </w:r>
          </w:p>
        </w:tc>
        <w:tc>
          <w:tcPr>
            <w:tcW w:w="160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60D5E9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预估量</w:t>
            </w:r>
          </w:p>
          <w:p w14:paraId="53F8A61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（万吨/年）</w:t>
            </w:r>
          </w:p>
        </w:tc>
        <w:tc>
          <w:tcPr>
            <w:tcW w:w="12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6B83266">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拦标价（万元）</w:t>
            </w:r>
          </w:p>
        </w:tc>
      </w:tr>
      <w:tr w14:paraId="5BE6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06F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3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F57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新动区、型钢区废、渣钢切割</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900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w:t>
            </w:r>
          </w:p>
        </w:tc>
        <w:tc>
          <w:tcPr>
            <w:tcW w:w="13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D4AF6F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60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27B1B1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2.34</w:t>
            </w:r>
          </w:p>
        </w:tc>
        <w:tc>
          <w:tcPr>
            <w:tcW w:w="1215" w:type="dxa"/>
            <w:vMerge w:val="restart"/>
            <w:tcBorders>
              <w:top w:val="single" w:color="000000" w:sz="4" w:space="0"/>
              <w:left w:val="single" w:color="auto" w:sz="4" w:space="0"/>
              <w:right w:val="single" w:color="000000" w:sz="4" w:space="0"/>
            </w:tcBorders>
            <w:shd w:val="clear" w:color="auto" w:fill="auto"/>
            <w:noWrap/>
            <w:vAlign w:val="center"/>
          </w:tcPr>
          <w:p w14:paraId="506C3EA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353</w:t>
            </w:r>
          </w:p>
        </w:tc>
      </w:tr>
      <w:tr w14:paraId="41DF6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CBA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3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61E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特钢区废钢切割</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5D5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13.5</w:t>
            </w:r>
          </w:p>
        </w:tc>
        <w:tc>
          <w:tcPr>
            <w:tcW w:w="13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24C2E9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60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6EBF87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9</w:t>
            </w:r>
          </w:p>
        </w:tc>
        <w:tc>
          <w:tcPr>
            <w:tcW w:w="1215" w:type="dxa"/>
            <w:vMerge w:val="continue"/>
            <w:tcBorders>
              <w:left w:val="single" w:color="auto" w:sz="4" w:space="0"/>
              <w:right w:val="single" w:color="000000" w:sz="4" w:space="0"/>
            </w:tcBorders>
            <w:shd w:val="clear" w:color="auto" w:fill="auto"/>
            <w:noWrap/>
            <w:vAlign w:val="center"/>
          </w:tcPr>
          <w:p w14:paraId="55C4EE2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791A0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CF79">
            <w:pPr>
              <w:jc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w:t>
            </w:r>
          </w:p>
        </w:tc>
        <w:tc>
          <w:tcPr>
            <w:tcW w:w="3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346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特钢区渣钢切割</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C9E4">
            <w:pPr>
              <w:jc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26.5</w:t>
            </w:r>
          </w:p>
        </w:tc>
        <w:tc>
          <w:tcPr>
            <w:tcW w:w="13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21C9224">
            <w:pPr>
              <w:jc w:val="center"/>
              <w:rPr>
                <w:rFonts w:hint="eastAsia" w:ascii="仿宋_GB2312" w:hAnsi="宋体" w:eastAsia="仿宋_GB2312" w:cs="仿宋_GB2312"/>
                <w:i w:val="0"/>
                <w:iCs w:val="0"/>
                <w:color w:val="000000"/>
                <w:kern w:val="0"/>
                <w:sz w:val="24"/>
                <w:szCs w:val="24"/>
                <w:u w:val="none"/>
                <w:lang w:val="en-US" w:eastAsia="zh-CN" w:bidi="ar"/>
              </w:rPr>
            </w:pPr>
          </w:p>
        </w:tc>
        <w:tc>
          <w:tcPr>
            <w:tcW w:w="160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DFD9B9E">
            <w:pPr>
              <w:jc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8</w:t>
            </w:r>
          </w:p>
        </w:tc>
        <w:tc>
          <w:tcPr>
            <w:tcW w:w="1215" w:type="dxa"/>
            <w:vMerge w:val="continue"/>
            <w:tcBorders>
              <w:left w:val="single" w:color="auto" w:sz="4" w:space="0"/>
              <w:bottom w:val="single" w:color="000000" w:sz="4" w:space="0"/>
              <w:right w:val="single" w:color="000000" w:sz="4" w:space="0"/>
            </w:tcBorders>
            <w:shd w:val="clear" w:color="auto" w:fill="auto"/>
            <w:noWrap/>
            <w:vAlign w:val="center"/>
          </w:tcPr>
          <w:p w14:paraId="10878645">
            <w:pPr>
              <w:jc w:val="center"/>
              <w:rPr>
                <w:rFonts w:hint="eastAsia" w:ascii="仿宋_GB2312" w:hAnsi="宋体" w:eastAsia="仿宋_GB2312" w:cs="仿宋_GB2312"/>
                <w:i w:val="0"/>
                <w:iCs w:val="0"/>
                <w:color w:val="000000"/>
                <w:kern w:val="0"/>
                <w:sz w:val="24"/>
                <w:szCs w:val="24"/>
                <w:u w:val="none"/>
                <w:lang w:val="en-US" w:eastAsia="zh-CN" w:bidi="ar"/>
              </w:rPr>
            </w:pPr>
          </w:p>
        </w:tc>
      </w:tr>
      <w:tr w14:paraId="03E7A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18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D2EA">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lang w:val="en-US"/>
              </w:rPr>
            </w:pPr>
            <w:r>
              <w:rPr>
                <w:rFonts w:hint="default" w:ascii="仿宋_GB2312" w:hAnsi="宋体" w:eastAsia="仿宋_GB2312" w:cs="仿宋_GB2312"/>
                <w:i w:val="0"/>
                <w:iCs w:val="0"/>
                <w:color w:val="000000"/>
                <w:kern w:val="0"/>
                <w:sz w:val="24"/>
                <w:szCs w:val="24"/>
                <w:u w:val="none"/>
                <w:lang w:val="en-US" w:eastAsia="zh-CN" w:bidi="ar"/>
              </w:rPr>
              <w:t>备注：投标报价均为不含税价，报价到</w:t>
            </w:r>
            <w:r>
              <w:rPr>
                <w:rFonts w:hint="eastAsia" w:ascii="仿宋_GB2312" w:hAnsi="宋体" w:eastAsia="仿宋_GB2312" w:cs="仿宋_GB2312"/>
                <w:i w:val="0"/>
                <w:iCs w:val="0"/>
                <w:color w:val="000000"/>
                <w:kern w:val="0"/>
                <w:sz w:val="24"/>
                <w:szCs w:val="24"/>
                <w:u w:val="none"/>
                <w:lang w:val="en-US" w:eastAsia="zh-CN" w:bidi="ar"/>
              </w:rPr>
              <w:t>分，以实际发生量为准；单价报价高于现行价视为无效报价。</w:t>
            </w:r>
          </w:p>
        </w:tc>
      </w:tr>
    </w:tbl>
    <w:p w14:paraId="7D560F08">
      <w:pPr>
        <w:tabs>
          <w:tab w:val="left" w:pos="993"/>
        </w:tabs>
        <w:jc w:val="both"/>
        <w:rPr>
          <w:rFonts w:ascii="仿宋_GB2312" w:hAnsi="宋体" w:eastAsia="仿宋_GB2312" w:cs="宋体"/>
          <w:sz w:val="32"/>
          <w:szCs w:val="32"/>
        </w:rPr>
        <w:sectPr>
          <w:headerReference r:id="rId3" w:type="default"/>
          <w:pgSz w:w="11906" w:h="16838"/>
          <w:pgMar w:top="1440" w:right="1800" w:bottom="1440" w:left="1800" w:header="851" w:footer="992" w:gutter="0"/>
          <w:cols w:space="425" w:num="1"/>
          <w:docGrid w:type="lines" w:linePitch="312" w:charSpace="0"/>
        </w:sectPr>
      </w:pPr>
    </w:p>
    <w:p w14:paraId="12220575"/>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4AFD">
    <w:pPr>
      <w:pStyle w:val="3"/>
      <w:pBdr>
        <w:bottom w:val="single" w:color="auto" w:sz="4" w:space="1"/>
      </w:pBdr>
      <w:jc w:val="both"/>
    </w:pPr>
    <w:r>
      <w:rPr>
        <w:rFonts w:ascii="宋体"/>
        <w:b/>
        <w:bCs/>
        <w:sz w:val="36"/>
        <w:szCs w:val="36"/>
      </w:rPr>
      <w:drawing>
        <wp:inline distT="0" distB="0" distL="0" distR="0">
          <wp:extent cx="323850" cy="342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342900"/>
                  </a:xfrm>
                  <a:prstGeom prst="rect">
                    <a:avLst/>
                  </a:prstGeom>
                  <a:noFill/>
                  <a:ln>
                    <a:noFill/>
                  </a:ln>
                </pic:spPr>
              </pic:pic>
            </a:graphicData>
          </a:graphic>
        </wp:inline>
      </w:drawing>
    </w:r>
    <w:r>
      <w:rPr>
        <w:rFonts w:hint="eastAsia" w:ascii="楷体_GB2312" w:hAnsi="宋体" w:eastAsia="楷体_GB2312" w:cs="楷体_GB2312"/>
        <w:b/>
        <w:bCs/>
        <w:i/>
        <w:iCs/>
        <w:sz w:val="24"/>
        <w:szCs w:val="24"/>
      </w:rPr>
      <w:t>山东钢铁股份有限公司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FBE1E">
    <w:pPr>
      <w:pStyle w:val="3"/>
      <w:pBdr>
        <w:bottom w:val="single" w:color="auto" w:sz="4" w:space="1"/>
      </w:pBdr>
      <w:jc w:val="both"/>
    </w:pPr>
    <w:r>
      <w:rPr>
        <w:rFonts w:ascii="宋体"/>
        <w:b/>
        <w:bCs/>
        <w:sz w:val="36"/>
        <w:szCs w:val="36"/>
      </w:rPr>
      <w:drawing>
        <wp:inline distT="0" distB="0" distL="0" distR="0">
          <wp:extent cx="323850" cy="342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342900"/>
                  </a:xfrm>
                  <a:prstGeom prst="rect">
                    <a:avLst/>
                  </a:prstGeom>
                  <a:noFill/>
                  <a:ln>
                    <a:noFill/>
                  </a:ln>
                </pic:spPr>
              </pic:pic>
            </a:graphicData>
          </a:graphic>
        </wp:inline>
      </w:drawing>
    </w:r>
    <w:r>
      <w:rPr>
        <w:rFonts w:hint="eastAsia" w:ascii="楷体_GB2312" w:hAnsi="宋体" w:eastAsia="楷体_GB2312" w:cs="楷体_GB2312"/>
        <w:b/>
        <w:bCs/>
        <w:i/>
        <w:iCs/>
        <w:sz w:val="24"/>
        <w:szCs w:val="24"/>
      </w:rPr>
      <w:t>山东钢铁股份有限公司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B69C0"/>
    <w:multiLevelType w:val="singleLevel"/>
    <w:tmpl w:val="927B69C0"/>
    <w:lvl w:ilvl="0" w:tentative="0">
      <w:start w:val="1"/>
      <w:numFmt w:val="chineseCounting"/>
      <w:suff w:val="nothing"/>
      <w:lvlText w:val="（%1）"/>
      <w:lvlJc w:val="left"/>
      <w:pPr>
        <w:ind w:left="0" w:firstLine="420"/>
      </w:pPr>
      <w:rPr>
        <w:rFonts w:hint="eastAsia"/>
      </w:rPr>
    </w:lvl>
  </w:abstractNum>
  <w:abstractNum w:abstractNumId="1">
    <w:nsid w:val="999628F3"/>
    <w:multiLevelType w:val="singleLevel"/>
    <w:tmpl w:val="999628F3"/>
    <w:lvl w:ilvl="0" w:tentative="0">
      <w:start w:val="9"/>
      <w:numFmt w:val="chineseCounting"/>
      <w:suff w:val="nothing"/>
      <w:lvlText w:val="%1．"/>
      <w:lvlJc w:val="left"/>
      <w:rPr>
        <w:rFonts w:hint="eastAsia"/>
      </w:rPr>
    </w:lvl>
  </w:abstractNum>
  <w:abstractNum w:abstractNumId="2">
    <w:nsid w:val="03BA2347"/>
    <w:multiLevelType w:val="multilevel"/>
    <w:tmpl w:val="03BA2347"/>
    <w:lvl w:ilvl="0" w:tentative="0">
      <w:start w:val="1"/>
      <w:numFmt w:val="japaneseCounting"/>
      <w:lvlText w:val="（%1）"/>
      <w:lvlJc w:val="left"/>
      <w:pPr>
        <w:ind w:left="1720" w:hanging="1080"/>
      </w:pPr>
      <w:rPr>
        <w:rFonts w:hint="default" w:ascii="楷体" w:hAnsi="楷体" w:eastAsia="楷体" w:cs="楷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45B0F"/>
    <w:rsid w:val="03D04D30"/>
    <w:rsid w:val="06D46B47"/>
    <w:rsid w:val="0C8C72F6"/>
    <w:rsid w:val="0CC548FE"/>
    <w:rsid w:val="163F0AF1"/>
    <w:rsid w:val="20931D58"/>
    <w:rsid w:val="256C0B84"/>
    <w:rsid w:val="30944636"/>
    <w:rsid w:val="351B6638"/>
    <w:rsid w:val="36C45D7A"/>
    <w:rsid w:val="479A57F0"/>
    <w:rsid w:val="5390150F"/>
    <w:rsid w:val="53D023BA"/>
    <w:rsid w:val="54AD586A"/>
    <w:rsid w:val="5C681F93"/>
    <w:rsid w:val="6E0D5635"/>
    <w:rsid w:val="79A120D0"/>
    <w:rsid w:val="7A3577EE"/>
    <w:rsid w:val="7CA37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494</Words>
  <Characters>501</Characters>
  <Lines>0</Lines>
  <Paragraphs>0</Paragraphs>
  <TotalTime>56</TotalTime>
  <ScaleCrop>false</ScaleCrop>
  <LinksUpToDate>false</LinksUpToDate>
  <CharactersWithSpaces>501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2025-10-28T00:24:00Z</dcterms:created>
  <dc:creator>Administrator</dc:creator>
  <cp:lastModifiedBy>Administrator</cp:lastModifiedBy>
  <dcterms:modified xsi:type="dcterms:W3CDTF">2025-11-14T02:01:04Z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eyJoZGlkIjoiZjYyMmU1MWQwOTU0ODA0ZGFlY2JmMGI4YmM0NjI2ZWUifQ==</vt:lpwstr>
  </property>
  <property fmtid="{D5CDD505-2E9C-101B-9397-08002B2CF9AE}" pid="4" name="ICV">
    <vt:lpwstr>8B773884E37C4A4D8AD6E911FFAB1BA9</vt:lpwstr>
  </property>
</Properties>
</file>