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000"/>
        </w:tabs>
        <w:autoSpaceDE w:val="0"/>
        <w:autoSpaceDN w:val="0"/>
        <w:adjustRightInd w:val="0"/>
        <w:spacing w:line="580" w:lineRule="exact"/>
        <w:jc w:val="center"/>
        <w:textAlignment w:val="center"/>
        <w:rPr>
          <w:rFonts w:hint="eastAsia" w:ascii="仿宋" w:hAnsi="仿宋" w:eastAsia="仿宋" w:cs="仿宋"/>
          <w:b/>
          <w:spacing w:val="45"/>
          <w:kern w:val="0"/>
          <w:sz w:val="36"/>
          <w:szCs w:val="36"/>
          <w:highlight w:val="none"/>
        </w:rPr>
      </w:pPr>
      <w:r>
        <w:rPr>
          <w:rFonts w:hint="eastAsia" w:ascii="仿宋" w:hAnsi="仿宋" w:eastAsia="仿宋" w:cs="仿宋"/>
          <w:b/>
          <w:spacing w:val="45"/>
          <w:kern w:val="0"/>
          <w:sz w:val="36"/>
          <w:szCs w:val="36"/>
          <w:highlight w:val="none"/>
        </w:rPr>
        <w:t>山东钢铁股份有限公司</w:t>
      </w:r>
    </w:p>
    <w:p>
      <w:pPr>
        <w:tabs>
          <w:tab w:val="left" w:pos="3000"/>
        </w:tabs>
        <w:autoSpaceDE w:val="0"/>
        <w:autoSpaceDN w:val="0"/>
        <w:spacing w:line="580" w:lineRule="exact"/>
        <w:jc w:val="center"/>
        <w:textAlignment w:val="center"/>
        <w:rPr>
          <w:rFonts w:hint="eastAsia" w:ascii="仿宋" w:hAnsi="仿宋" w:eastAsia="仿宋" w:cs="仿宋"/>
          <w:b/>
          <w:w w:val="90"/>
          <w:sz w:val="36"/>
          <w:szCs w:val="36"/>
        </w:rPr>
      </w:pPr>
      <w:r>
        <w:rPr>
          <w:rFonts w:hint="eastAsia" w:ascii="仿宋" w:hAnsi="仿宋" w:eastAsia="仿宋" w:cs="仿宋"/>
          <w:b/>
          <w:spacing w:val="45"/>
          <w:w w:val="90"/>
          <w:kern w:val="0"/>
          <w:sz w:val="36"/>
          <w:szCs w:val="36"/>
        </w:rPr>
        <w:t>型钢厂</w:t>
      </w:r>
      <w:r>
        <w:rPr>
          <w:rFonts w:hint="eastAsia" w:ascii="仿宋" w:hAnsi="仿宋" w:eastAsia="仿宋" w:cs="仿宋"/>
          <w:b/>
          <w:spacing w:val="45"/>
          <w:w w:val="90"/>
          <w:kern w:val="0"/>
          <w:sz w:val="36"/>
          <w:szCs w:val="36"/>
          <w:lang w:val="en-US" w:eastAsia="zh-CN"/>
        </w:rPr>
        <w:t>工艺件委外仓储业务</w:t>
      </w:r>
      <w:r>
        <w:rPr>
          <w:rFonts w:hint="eastAsia" w:ascii="仿宋" w:hAnsi="仿宋" w:eastAsia="仿宋" w:cs="仿宋"/>
          <w:b/>
          <w:spacing w:val="45"/>
          <w:w w:val="90"/>
          <w:kern w:val="0"/>
          <w:sz w:val="36"/>
          <w:szCs w:val="36"/>
        </w:rPr>
        <w:t>招标文件</w:t>
      </w:r>
    </w:p>
    <w:p>
      <w:pPr>
        <w:spacing w:line="560" w:lineRule="exact"/>
        <w:ind w:firstLine="555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为确保正常操作，按照公开公正公平原则，实行公开招标方式选择承揽单位。</w:t>
      </w:r>
    </w:p>
    <w:p>
      <w:pPr>
        <w:spacing w:line="560" w:lineRule="exact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一、招标单位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山东钢铁股份有限公司</w:t>
      </w:r>
    </w:p>
    <w:p>
      <w:pPr>
        <w:spacing w:line="560" w:lineRule="exact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二、项目名称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型钢厂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>工艺件委外仓储业务</w:t>
      </w:r>
    </w:p>
    <w:p>
      <w:pPr>
        <w:spacing w:line="560" w:lineRule="exact"/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三、招标内容及服务要求</w:t>
      </w:r>
    </w:p>
    <w:p>
      <w:pPr>
        <w:autoSpaceDE w:val="0"/>
        <w:autoSpaceDN w:val="0"/>
        <w:adjustRightInd w:val="0"/>
        <w:spacing w:line="560" w:lineRule="exact"/>
        <w:ind w:firstLine="480" w:firstLineChars="150"/>
        <w:jc w:val="left"/>
        <w:textAlignment w:val="center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（一）区域位置：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中标单位仓储场地。</w:t>
      </w:r>
    </w:p>
    <w:p>
      <w:pPr>
        <w:autoSpaceDE w:val="0"/>
        <w:autoSpaceDN w:val="0"/>
        <w:adjustRightInd w:val="0"/>
        <w:spacing w:line="580" w:lineRule="exact"/>
        <w:ind w:firstLine="480" w:firstLineChars="150"/>
        <w:jc w:val="left"/>
        <w:textAlignment w:val="center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（二）业务承揽要求：</w:t>
      </w:r>
    </w:p>
    <w:p>
      <w:pPr>
        <w:spacing w:line="560" w:lineRule="exact"/>
        <w:ind w:firstLine="555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该项目拟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申请委外仓储场地</w:t>
      </w:r>
      <w:r>
        <w:rPr>
          <w:rFonts w:hint="eastAsia" w:ascii="仿宋" w:hAnsi="仿宋" w:eastAsia="仿宋" w:cs="仿宋"/>
          <w:kern w:val="0"/>
          <w:sz w:val="32"/>
          <w:szCs w:val="32"/>
        </w:rPr>
        <w:t>用于工艺件等物资仓储，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需</w:t>
      </w:r>
      <w:r>
        <w:rPr>
          <w:rFonts w:hint="eastAsia" w:ascii="仿宋" w:hAnsi="仿宋" w:eastAsia="仿宋" w:cs="仿宋"/>
          <w:kern w:val="0"/>
          <w:sz w:val="32"/>
          <w:szCs w:val="32"/>
        </w:rPr>
        <w:t>满足32t及以下的起重作业条件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起重作业要求见下表）</w:t>
      </w:r>
      <w:r>
        <w:rPr>
          <w:rFonts w:hint="eastAsia" w:ascii="仿宋" w:hAnsi="仿宋" w:eastAsia="仿宋" w:cs="仿宋"/>
          <w:kern w:val="0"/>
          <w:sz w:val="32"/>
          <w:szCs w:val="32"/>
        </w:rPr>
        <w:t>，同时配套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仓储场地内的</w:t>
      </w:r>
      <w:r>
        <w:rPr>
          <w:rFonts w:hint="eastAsia" w:ascii="仿宋" w:hAnsi="仿宋" w:eastAsia="仿宋" w:cs="仿宋"/>
          <w:kern w:val="0"/>
          <w:sz w:val="32"/>
          <w:szCs w:val="32"/>
        </w:rPr>
        <w:t>工艺件物资管理、装卸车等业务。</w:t>
      </w:r>
    </w:p>
    <w:tbl>
      <w:tblPr>
        <w:tblStyle w:val="10"/>
        <w:tblpPr w:leftFromText="180" w:rightFromText="180" w:vertAnchor="text" w:horzAnchor="page" w:tblpX="2200" w:tblpY="39"/>
        <w:tblOverlap w:val="never"/>
        <w:tblW w:w="82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0"/>
        <w:gridCol w:w="40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0" w:type="dxa"/>
          </w:tcPr>
          <w:p>
            <w:pPr>
              <w:spacing w:line="560" w:lineRule="exact"/>
              <w:rPr>
                <w:rFonts w:hint="eastAsia" w:ascii="仿宋" w:hAnsi="仿宋" w:eastAsia="仿宋" w:cs="仿宋"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起重作业吨位要求</w:t>
            </w:r>
          </w:p>
        </w:tc>
        <w:tc>
          <w:tcPr>
            <w:tcW w:w="4076" w:type="dxa"/>
          </w:tcPr>
          <w:p>
            <w:pPr>
              <w:spacing w:line="560" w:lineRule="exact"/>
              <w:rPr>
                <w:rFonts w:hint="eastAsia" w:ascii="仿宋" w:hAnsi="仿宋" w:eastAsia="宋体" w:cs="仿宋"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厂房最低覆盖面积（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㎡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0" w:type="dxa"/>
          </w:tcPr>
          <w:p>
            <w:pPr>
              <w:spacing w:line="560" w:lineRule="exact"/>
              <w:rPr>
                <w:rFonts w:hint="default" w:ascii="仿宋" w:hAnsi="仿宋" w:eastAsia="仿宋" w:cs="仿宋"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≥32t</w:t>
            </w:r>
          </w:p>
        </w:tc>
        <w:tc>
          <w:tcPr>
            <w:tcW w:w="4076" w:type="dxa"/>
          </w:tcPr>
          <w:p>
            <w:pPr>
              <w:spacing w:line="560" w:lineRule="exact"/>
              <w:rPr>
                <w:rFonts w:hint="default" w:ascii="仿宋" w:hAnsi="仿宋" w:eastAsia="仿宋" w:cs="仿宋"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0" w:type="dxa"/>
          </w:tcPr>
          <w:p>
            <w:pPr>
              <w:spacing w:line="560" w:lineRule="exact"/>
              <w:rPr>
                <w:rFonts w:hint="default" w:ascii="仿宋" w:hAnsi="仿宋" w:eastAsia="仿宋" w:cs="仿宋"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16-32t</w:t>
            </w:r>
          </w:p>
        </w:tc>
        <w:tc>
          <w:tcPr>
            <w:tcW w:w="4076" w:type="dxa"/>
          </w:tcPr>
          <w:p>
            <w:pPr>
              <w:spacing w:line="560" w:lineRule="exact"/>
              <w:rPr>
                <w:rFonts w:hint="default" w:ascii="仿宋" w:hAnsi="仿宋" w:eastAsia="仿宋" w:cs="仿宋"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4000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140" w:type="dxa"/>
          </w:tcPr>
          <w:p>
            <w:pPr>
              <w:spacing w:line="560" w:lineRule="exact"/>
              <w:rPr>
                <w:rFonts w:hint="default" w:ascii="仿宋" w:hAnsi="仿宋" w:eastAsia="仿宋" w:cs="仿宋"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≥10t</w:t>
            </w:r>
          </w:p>
        </w:tc>
        <w:tc>
          <w:tcPr>
            <w:tcW w:w="4076" w:type="dxa"/>
          </w:tcPr>
          <w:p>
            <w:pPr>
              <w:spacing w:line="560" w:lineRule="exact"/>
              <w:rPr>
                <w:rFonts w:hint="default" w:ascii="仿宋" w:hAnsi="仿宋" w:eastAsia="仿宋" w:cs="仿宋"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3000</w:t>
            </w:r>
          </w:p>
        </w:tc>
      </w:tr>
    </w:tbl>
    <w:p>
      <w:pPr>
        <w:spacing w:line="560" w:lineRule="exact"/>
        <w:ind w:firstLine="640" w:firstLineChars="200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1、仓储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室内库房（面积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约8000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平方米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按照实际面积结算）用于工艺件等物资仓储。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因现场生产工装切换紧凑，场地应具备30分钟内及时倒运至生产现场的能力。</w:t>
      </w:r>
    </w:p>
    <w:p>
      <w:pPr>
        <w:spacing w:line="560" w:lineRule="exact"/>
        <w:ind w:firstLine="640" w:firstLineChars="200"/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3、工艺件运输费用由招标方负责。</w:t>
      </w:r>
    </w:p>
    <w:p>
      <w:pPr>
        <w:spacing w:line="560" w:lineRule="exact"/>
        <w:ind w:firstLine="555"/>
        <w:jc w:val="left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三）</w:t>
      </w:r>
      <w:r>
        <w:rPr>
          <w:rFonts w:hint="eastAsia" w:ascii="仿宋" w:hAnsi="仿宋" w:eastAsia="仿宋" w:cs="仿宋"/>
          <w:kern w:val="0"/>
          <w:sz w:val="32"/>
          <w:szCs w:val="32"/>
        </w:rPr>
        <w:t>承包期限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：</w:t>
      </w:r>
    </w:p>
    <w:p>
      <w:pPr>
        <w:spacing w:line="560" w:lineRule="exact"/>
        <w:ind w:firstLine="555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合同签订期限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kern w:val="0"/>
          <w:sz w:val="32"/>
          <w:szCs w:val="32"/>
        </w:rPr>
        <w:t>年，自合同签订之日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开</w:t>
      </w:r>
      <w:r>
        <w:rPr>
          <w:rFonts w:hint="eastAsia" w:ascii="仿宋" w:hAnsi="仿宋" w:eastAsia="仿宋" w:cs="仿宋"/>
          <w:kern w:val="0"/>
          <w:sz w:val="32"/>
          <w:szCs w:val="32"/>
        </w:rPr>
        <w:t>始。</w:t>
      </w:r>
    </w:p>
    <w:p>
      <w:pPr>
        <w:spacing w:line="560" w:lineRule="exact"/>
        <w:ind w:firstLine="555"/>
        <w:jc w:val="left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四）相关要求</w:t>
      </w:r>
    </w:p>
    <w:p>
      <w:pPr>
        <w:spacing w:line="560" w:lineRule="exact"/>
        <w:ind w:firstLine="555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）招标方</w:t>
      </w:r>
      <w:r>
        <w:rPr>
          <w:rFonts w:hint="eastAsia" w:ascii="仿宋" w:hAnsi="仿宋" w:eastAsia="仿宋" w:cs="仿宋"/>
          <w:kern w:val="0"/>
          <w:sz w:val="32"/>
          <w:szCs w:val="32"/>
        </w:rPr>
        <w:t>安排专人负责对存放物资的收、发、存进行全过程管理，建立物资管理台账，与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投标方</w:t>
      </w:r>
      <w:r>
        <w:rPr>
          <w:rFonts w:hint="eastAsia" w:ascii="仿宋" w:hAnsi="仿宋" w:eastAsia="仿宋" w:cs="仿宋"/>
          <w:kern w:val="0"/>
          <w:sz w:val="32"/>
          <w:szCs w:val="32"/>
        </w:rPr>
        <w:t>做好实物交接，每月进行物资盘点。</w:t>
      </w:r>
    </w:p>
    <w:p>
      <w:pPr>
        <w:spacing w:line="560" w:lineRule="exact"/>
        <w:ind w:firstLine="555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）招标方</w:t>
      </w:r>
      <w:r>
        <w:rPr>
          <w:rFonts w:hint="eastAsia" w:ascii="仿宋" w:hAnsi="仿宋" w:eastAsia="仿宋" w:cs="仿宋"/>
          <w:kern w:val="0"/>
          <w:sz w:val="32"/>
          <w:szCs w:val="32"/>
        </w:rPr>
        <w:t>派专人对存放物资进行倒运作业及现场实物进行管理。</w:t>
      </w:r>
    </w:p>
    <w:p>
      <w:pPr>
        <w:spacing w:line="560" w:lineRule="exact"/>
        <w:ind w:firstLine="555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）招标方</w:t>
      </w:r>
      <w:r>
        <w:rPr>
          <w:rFonts w:hint="eastAsia" w:ascii="仿宋" w:hAnsi="仿宋" w:eastAsia="仿宋" w:cs="仿宋"/>
          <w:kern w:val="0"/>
          <w:sz w:val="32"/>
          <w:szCs w:val="32"/>
        </w:rPr>
        <w:t>负责提供倒运车辆及存放架等设施。</w:t>
      </w:r>
    </w:p>
    <w:p>
      <w:pPr>
        <w:spacing w:line="560" w:lineRule="exact"/>
        <w:ind w:firstLine="555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）招标方</w:t>
      </w:r>
      <w:r>
        <w:rPr>
          <w:rFonts w:hint="eastAsia" w:ascii="仿宋" w:hAnsi="仿宋" w:eastAsia="仿宋" w:cs="仿宋"/>
          <w:kern w:val="0"/>
          <w:sz w:val="32"/>
          <w:szCs w:val="32"/>
        </w:rPr>
        <w:t>负责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招标方</w:t>
      </w:r>
      <w:r>
        <w:rPr>
          <w:rFonts w:hint="eastAsia" w:ascii="仿宋" w:hAnsi="仿宋" w:eastAsia="仿宋" w:cs="仿宋"/>
          <w:kern w:val="0"/>
          <w:sz w:val="32"/>
          <w:szCs w:val="32"/>
        </w:rPr>
        <w:t>生产现场的工艺件装卸车操作。</w:t>
      </w:r>
    </w:p>
    <w:p>
      <w:pPr>
        <w:spacing w:line="560" w:lineRule="exact"/>
        <w:ind w:firstLine="555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）投标方</w:t>
      </w:r>
      <w:r>
        <w:rPr>
          <w:rFonts w:hint="eastAsia" w:ascii="仿宋" w:hAnsi="仿宋" w:eastAsia="仿宋" w:cs="仿宋"/>
          <w:kern w:val="0"/>
          <w:sz w:val="32"/>
          <w:szCs w:val="32"/>
        </w:rPr>
        <w:t>提供现场实物存放的必要设施。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投标方</w:t>
      </w:r>
      <w:r>
        <w:rPr>
          <w:rFonts w:hint="eastAsia" w:ascii="仿宋" w:hAnsi="仿宋" w:eastAsia="仿宋" w:cs="仿宋"/>
          <w:kern w:val="0"/>
          <w:sz w:val="32"/>
          <w:szCs w:val="32"/>
        </w:rPr>
        <w:t>负责库存货物不被雨淋、不受潮、不损毁。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投标方</w:t>
      </w:r>
      <w:r>
        <w:rPr>
          <w:rFonts w:hint="eastAsia" w:ascii="仿宋" w:hAnsi="仿宋" w:eastAsia="仿宋" w:cs="仿宋"/>
          <w:kern w:val="0"/>
          <w:sz w:val="32"/>
          <w:szCs w:val="32"/>
        </w:rPr>
        <w:t>对其所提供的库房、设备及设施安全性及完好性负责，对相关设备、物资的安全负责。</w:t>
      </w:r>
    </w:p>
    <w:p>
      <w:pPr>
        <w:spacing w:line="560" w:lineRule="exact"/>
        <w:ind w:firstLine="555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）投标方</w:t>
      </w:r>
      <w:r>
        <w:rPr>
          <w:rFonts w:hint="eastAsia" w:ascii="仿宋" w:hAnsi="仿宋" w:eastAsia="仿宋" w:cs="仿宋"/>
          <w:kern w:val="0"/>
          <w:sz w:val="32"/>
          <w:szCs w:val="32"/>
        </w:rPr>
        <w:t>负责仓储场地内倒运过程中的起重设备操作及工艺件装卸车操作。</w:t>
      </w:r>
    </w:p>
    <w:p>
      <w:pPr>
        <w:spacing w:line="560" w:lineRule="exact"/>
        <w:ind w:firstLine="555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）投标方</w:t>
      </w:r>
      <w:r>
        <w:rPr>
          <w:rFonts w:hint="eastAsia" w:ascii="仿宋" w:hAnsi="仿宋" w:eastAsia="仿宋" w:cs="仿宋"/>
          <w:kern w:val="0"/>
          <w:sz w:val="32"/>
          <w:szCs w:val="32"/>
        </w:rPr>
        <w:t>对供货方、使用单位进入仓库等现场的业务（作业）人员、司机等进行安全管理。</w:t>
      </w:r>
    </w:p>
    <w:p>
      <w:pPr>
        <w:spacing w:line="560" w:lineRule="exact"/>
        <w:ind w:firstLine="555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）投标方</w:t>
      </w:r>
      <w:r>
        <w:rPr>
          <w:rFonts w:hint="eastAsia" w:ascii="仿宋" w:hAnsi="仿宋" w:eastAsia="仿宋" w:cs="仿宋"/>
          <w:kern w:val="0"/>
          <w:sz w:val="32"/>
          <w:szCs w:val="32"/>
        </w:rPr>
        <w:t>对仓库及现场物资的保卫工作负全责，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货物丢失由投标方按照工艺件入库价格进行赔付</w:t>
      </w:r>
      <w:r>
        <w:rPr>
          <w:rFonts w:hint="eastAsia" w:ascii="仿宋" w:hAnsi="仿宋" w:eastAsia="仿宋" w:cs="仿宋"/>
          <w:kern w:val="0"/>
          <w:sz w:val="32"/>
          <w:szCs w:val="32"/>
        </w:rPr>
        <w:t>。</w:t>
      </w:r>
    </w:p>
    <w:p>
      <w:pPr>
        <w:spacing w:line="560" w:lineRule="exact"/>
        <w:ind w:firstLine="555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）投标方</w:t>
      </w:r>
      <w:r>
        <w:rPr>
          <w:rFonts w:hint="eastAsia" w:ascii="仿宋" w:hAnsi="仿宋" w:eastAsia="仿宋" w:cs="仿宋"/>
          <w:kern w:val="0"/>
          <w:sz w:val="32"/>
          <w:szCs w:val="32"/>
        </w:rPr>
        <w:t>保证出入场地的道路畅通无阻，不存在阻碍交通的情况发生。</w:t>
      </w:r>
    </w:p>
    <w:p>
      <w:pPr>
        <w:spacing w:line="560" w:lineRule="exact"/>
        <w:ind w:firstLine="555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）投标方</w:t>
      </w:r>
      <w:r>
        <w:rPr>
          <w:rFonts w:hint="eastAsia" w:ascii="仿宋" w:hAnsi="仿宋" w:eastAsia="仿宋" w:cs="仿宋"/>
          <w:kern w:val="0"/>
          <w:sz w:val="32"/>
          <w:szCs w:val="32"/>
        </w:rPr>
        <w:t>保证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招标方</w:t>
      </w:r>
      <w:r>
        <w:rPr>
          <w:rFonts w:hint="eastAsia" w:ascii="仿宋" w:hAnsi="仿宋" w:eastAsia="仿宋" w:cs="仿宋"/>
          <w:kern w:val="0"/>
          <w:sz w:val="32"/>
          <w:szCs w:val="32"/>
        </w:rPr>
        <w:t>货物及时装卸车，不得影响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招标方</w:t>
      </w:r>
      <w:r>
        <w:rPr>
          <w:rFonts w:hint="eastAsia" w:ascii="仿宋" w:hAnsi="仿宋" w:eastAsia="仿宋" w:cs="仿宋"/>
          <w:kern w:val="0"/>
          <w:sz w:val="32"/>
          <w:szCs w:val="32"/>
        </w:rPr>
        <w:t>的生产经营。</w:t>
      </w:r>
    </w:p>
    <w:p>
      <w:pPr>
        <w:spacing w:line="560" w:lineRule="exact"/>
        <w:ind w:firstLine="555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投标方设置专人负责与招标方做好实物交接、出入库管理及仓储场地内的装卸车操作，建立物资管理台账，每月与招标方开展好物资盘点工作。</w:t>
      </w:r>
    </w:p>
    <w:p>
      <w:pPr>
        <w:spacing w:line="560" w:lineRule="exact"/>
        <w:ind w:firstLine="555"/>
        <w:jc w:val="left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(五）中标单位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责任约定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1.投标方因库房管理不当造成库存货物被淋、被淹、受潮、损毁等，造成的损失由投标方承担，按照货物受损的总价值赔偿招标方。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2.投标方因在装卸车、库房内倒运过程中造成工艺件或备件损坏等，造成的损失由投标方承担，按照货物受损的总价值和对生产造成的损失赔偿招标方。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3．投标方未能实施有效保卫，致使货物在仓储场地被盗丢失，造成的损失由投标方全额承担，按照丢失货物的总价值和对生产造成的损失赔偿招标方。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4．招标方由于生产经营原因需要提前终止协议，招标方提前1个月告知投标方，合同自动解除。</w:t>
      </w:r>
    </w:p>
    <w:p>
      <w:pPr>
        <w:autoSpaceDE w:val="0"/>
        <w:autoSpaceDN w:val="0"/>
        <w:adjustRightInd w:val="0"/>
        <w:spacing w:line="580" w:lineRule="exact"/>
        <w:ind w:firstLine="480" w:firstLineChars="150"/>
        <w:jc w:val="left"/>
        <w:textAlignment w:val="center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（六）合同履行期间，如遇不可抗力原因造成投标方的厂房、设备损坏或招标方财产损失，双方互不承担责任。</w:t>
      </w:r>
    </w:p>
    <w:p>
      <w:pPr>
        <w:snapToGrid w:val="0"/>
        <w:ind w:firstLine="614" w:firstLineChars="192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七）报价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仓储费用按照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元/平方米*月（不含税，包括仓储场地所用水电费用、厂房及行车维护费用，负责工艺件账物管理、装卸车及行车操作等）进行报价。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八）费用结算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每月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结算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一次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采用银行承兑汇票的方式进行结算。</w:t>
      </w:r>
    </w:p>
    <w:p>
      <w:pPr>
        <w:spacing w:line="560" w:lineRule="exact"/>
        <w:ind w:firstLine="57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四、招标方式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采取</w:t>
      </w:r>
      <w:r>
        <w:rPr>
          <w:rFonts w:hint="eastAsia" w:ascii="仿宋" w:hAnsi="仿宋" w:eastAsia="仿宋" w:cs="仿宋"/>
          <w:sz w:val="32"/>
          <w:szCs w:val="32"/>
        </w:rPr>
        <w:t>公开招标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的方式进行招标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拟招1家单位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spacing w:line="560" w:lineRule="exact"/>
        <w:ind w:firstLine="643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五、投标报价要求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1.投标报价均为不含税价格。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2.结算税率按照国家相关制度要求执行，如遇国家税率调整，在不含税价格基础上执行新的税率。</w:t>
      </w:r>
    </w:p>
    <w:p>
      <w:pPr>
        <w:spacing w:line="560" w:lineRule="exact"/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六、单位资格审查条件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</w:rPr>
        <w:t>（一）符合国家规定行业标准，依法取得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lang w:val="en-US" w:eastAsia="zh-CN"/>
        </w:rPr>
        <w:t>营业执照，具备普通货物仓储服务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</w:rPr>
        <w:t>等相关资质。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</w:rPr>
        <w:t>（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lang w:eastAsia="zh-CN"/>
        </w:rPr>
        <w:t>二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</w:rPr>
        <w:t>）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lang w:val="en-US" w:eastAsia="zh-CN"/>
        </w:rPr>
        <w:t>投标单位具有仓储租赁业绩（或租赁业绩是承包合同中一部分），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</w:rPr>
        <w:t>具有从事相关业务经验和业绩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lang w:eastAsia="zh-CN"/>
        </w:rPr>
        <w:t>（至少一份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lang w:val="en-US" w:eastAsia="zh-CN"/>
        </w:rPr>
        <w:t>2022年以来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lang w:eastAsia="zh-CN"/>
        </w:rPr>
        <w:t>业务相关或近似的合同）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</w:rPr>
        <w:t>，管理、安全、服务体系健全。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lang w:val="en-US" w:eastAsia="zh-CN"/>
        </w:rPr>
        <w:t>三）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</w:rPr>
        <w:t>具有一定资金基础，注册资金在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</w:rPr>
        <w:t>00万元以上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lang w:eastAsia="zh-CN"/>
        </w:rPr>
        <w:t>。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宋体" w:eastAsia="仿宋_GB2312"/>
          <w:sz w:val="32"/>
          <w:szCs w:val="32"/>
        </w:rPr>
        <w:t>）具有良好的经营行为，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不存在失信被执行、限制高消费情况，与采购方不存在纠纷诉讼行为。（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提供企查查网站查询截图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五</w:t>
      </w:r>
      <w:r>
        <w:rPr>
          <w:rFonts w:hint="eastAsia" w:ascii="仿宋_GB2312" w:hAnsi="宋体" w:eastAsia="仿宋_GB2312"/>
          <w:sz w:val="32"/>
          <w:szCs w:val="32"/>
        </w:rPr>
        <w:t>）具有满足相关业务需要的足量资源</w:t>
      </w:r>
      <w:bookmarkStart w:id="0" w:name="_GoBack"/>
      <w:bookmarkEnd w:id="0"/>
      <w:r>
        <w:rPr>
          <w:rFonts w:hint="eastAsia" w:ascii="仿宋_GB2312" w:hAnsi="宋体" w:eastAsia="仿宋_GB2312"/>
          <w:sz w:val="32"/>
          <w:szCs w:val="32"/>
        </w:rPr>
        <w:t>，能保证日常业务和应急任务开展。</w:t>
      </w:r>
    </w:p>
    <w:p>
      <w:pPr>
        <w:autoSpaceDE w:val="0"/>
        <w:autoSpaceDN w:val="0"/>
        <w:adjustRightInd w:val="0"/>
        <w:spacing w:line="580" w:lineRule="exact"/>
        <w:ind w:firstLine="640" w:firstLineChars="200"/>
        <w:jc w:val="left"/>
        <w:textAlignment w:val="center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六</w:t>
      </w:r>
      <w:r>
        <w:rPr>
          <w:rFonts w:hint="eastAsia" w:ascii="仿宋_GB2312" w:hAnsi="宋体" w:eastAsia="仿宋_GB2312"/>
          <w:sz w:val="32"/>
          <w:szCs w:val="32"/>
        </w:rPr>
        <w:t>）</w:t>
      </w:r>
      <w:r>
        <w:rPr>
          <w:rFonts w:hint="eastAsia" w:ascii="仿宋_GB2312" w:hAnsi="宋体" w:eastAsia="仿宋_GB2312"/>
          <w:kern w:val="0"/>
          <w:sz w:val="32"/>
          <w:szCs w:val="32"/>
        </w:rPr>
        <w:t>安全环保要求：</w:t>
      </w:r>
      <w:r>
        <w:rPr>
          <w:rFonts w:hint="eastAsia" w:ascii="仿宋_GB2312" w:hAnsi="宋体" w:eastAsia="仿宋_GB2312" w:cs="宋体"/>
          <w:sz w:val="32"/>
          <w:szCs w:val="32"/>
        </w:rPr>
        <w:t>在工作、运输及存放过程中，要满足国家及地方相关环保要求，不得造成二次污染。</w:t>
      </w:r>
    </w:p>
    <w:p>
      <w:pPr>
        <w:autoSpaceDE w:val="0"/>
        <w:autoSpaceDN w:val="0"/>
        <w:adjustRightInd w:val="0"/>
        <w:spacing w:line="580" w:lineRule="exact"/>
        <w:ind w:firstLine="640" w:firstLineChars="200"/>
        <w:jc w:val="left"/>
        <w:textAlignment w:val="center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color w:val="000000"/>
          <w:kern w:val="0"/>
          <w:sz w:val="32"/>
          <w:szCs w:val="32"/>
        </w:rPr>
        <w:t>报名</w:t>
      </w:r>
      <w:r>
        <w:rPr>
          <w:rFonts w:hint="eastAsia" w:ascii="仿宋_GB2312" w:hAnsi="宋体" w:eastAsia="仿宋_GB2312" w:cs="Times New Roman"/>
          <w:color w:val="000000"/>
          <w:kern w:val="0"/>
          <w:sz w:val="32"/>
          <w:szCs w:val="32"/>
        </w:rPr>
        <w:t>参加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</w:rPr>
        <w:t>投标的单位，</w:t>
      </w:r>
      <w:r>
        <w:rPr>
          <w:rFonts w:hint="eastAsia" w:ascii="仿宋_GB2312" w:hAnsi="宋体" w:eastAsia="仿宋_GB2312" w:cs="Times New Roman"/>
          <w:color w:val="000000"/>
          <w:kern w:val="0"/>
          <w:sz w:val="32"/>
          <w:szCs w:val="32"/>
          <w:lang w:val="en-US" w:eastAsia="zh-CN"/>
        </w:rPr>
        <w:t>按照以上要求制作PDF版资格审查文件，</w:t>
      </w:r>
      <w:r>
        <w:rPr>
          <w:rFonts w:hint="eastAsia" w:ascii="仿宋_GB2312" w:hAnsi="宋体" w:eastAsia="仿宋_GB2312" w:cs="Times New Roman"/>
          <w:color w:val="000000"/>
          <w:kern w:val="0"/>
          <w:sz w:val="32"/>
          <w:szCs w:val="32"/>
        </w:rPr>
        <w:t>报名时需上传资格</w:t>
      </w:r>
      <w:r>
        <w:rPr>
          <w:rFonts w:hint="eastAsia" w:ascii="仿宋_GB2312" w:hAnsi="宋体" w:eastAsia="仿宋_GB2312" w:cs="Times New Roman"/>
          <w:color w:val="000000"/>
          <w:kern w:val="0"/>
          <w:sz w:val="32"/>
          <w:szCs w:val="32"/>
          <w:lang w:eastAsia="zh-CN"/>
        </w:rPr>
        <w:t>审查</w:t>
      </w:r>
      <w:r>
        <w:rPr>
          <w:rFonts w:hint="eastAsia" w:ascii="仿宋_GB2312" w:hAnsi="宋体" w:eastAsia="仿宋_GB2312" w:cs="Times New Roman"/>
          <w:color w:val="000000"/>
          <w:kern w:val="0"/>
          <w:sz w:val="32"/>
          <w:szCs w:val="32"/>
        </w:rPr>
        <w:t>文件，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  <w:lang w:val="en-US" w:eastAsia="zh-CN"/>
        </w:rPr>
        <w:t>制造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</w:rPr>
        <w:t>管理部将根据项目情况组织联合考察，对不符合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  <w:lang w:eastAsia="zh-CN"/>
        </w:rPr>
        <w:t>采购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</w:rPr>
        <w:t>条件或故意弄虚作假者，取消投标资格。</w:t>
      </w:r>
    </w:p>
    <w:p>
      <w:pPr>
        <w:spacing w:line="560" w:lineRule="exact"/>
        <w:ind w:firstLine="643" w:firstLineChars="200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七、评标方法</w:t>
      </w:r>
    </w:p>
    <w:p>
      <w:pPr>
        <w:spacing w:line="58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采取综合评估法进行评标，技术占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0分，商务占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0分，综合排名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第一名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的单位中标。如出现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排名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并列情况，根据综合实力情况，经评标委员会研究决定推荐中标单位。</w:t>
      </w:r>
    </w:p>
    <w:tbl>
      <w:tblPr>
        <w:tblStyle w:val="9"/>
        <w:tblW w:w="1022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3"/>
        <w:gridCol w:w="84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</w:rPr>
              <w:t>分类</w:t>
            </w:r>
          </w:p>
        </w:tc>
        <w:tc>
          <w:tcPr>
            <w:tcW w:w="844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</w:rPr>
              <w:t>评分规则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价格（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0）</w:t>
            </w:r>
          </w:p>
        </w:tc>
        <w:tc>
          <w:tcPr>
            <w:tcW w:w="844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1、高于平均报价30%为无效投标，低于平均报价30%的，经评标委员会讨论研究，确认价格是否合理，若不合理视为无效投标。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2、有效最低报价为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0分，其他以有效最低报价为基准，每高于基准价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%减1分。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6" w:hRule="atLeast"/>
          <w:jc w:val="center"/>
        </w:trPr>
        <w:tc>
          <w:tcPr>
            <w:tcW w:w="17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实力业绩（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）</w:t>
            </w:r>
          </w:p>
        </w:tc>
        <w:tc>
          <w:tcPr>
            <w:tcW w:w="8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投标单位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提供与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本招标业务相似近三年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2022年1月1日以来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的承包合同，提供合同份数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份以上的（含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份）得5分，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3份以上（含3份）5份以下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的得3分，1份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以上（含1份）3份以下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的得1分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未提供的不得分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7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以“企查查”（www.qichacha.com）网站查询结果为依据：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highlight w:val="none"/>
              </w:rPr>
              <w:t>“法律诉讼”项下“被执行人”每条扣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highlight w:val="none"/>
              </w:rPr>
              <w:t>分；合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计最高扣5分，得分0-5分。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7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服务保障（20）</w:t>
            </w:r>
          </w:p>
        </w:tc>
        <w:tc>
          <w:tcPr>
            <w:tcW w:w="8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对该业务有较为详实的了解，熟悉业务流程，能够根据业务特性制定相应的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工作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方案。所编制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工作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方案针对性强，内容全面的得分10-15分；针对性不强，内容较全面的得5-10分；无针对性，内容欠缺的得1-5分。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7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提供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较为详实的安全管理规章制度，并配备安全管理专职人员，编制内容全面的得分4-5分，内容较为全面的得分2-3分，内容不全面的得分1分，未提供的不得分。</w:t>
            </w:r>
          </w:p>
        </w:tc>
      </w:tr>
    </w:tbl>
    <w:p>
      <w:pPr>
        <w:spacing w:line="580" w:lineRule="exact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八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、联系方式</w:t>
      </w:r>
    </w:p>
    <w:p>
      <w:pPr>
        <w:spacing w:line="580" w:lineRule="exact"/>
        <w:ind w:firstLine="680" w:firstLineChars="200"/>
        <w:rPr>
          <w:rFonts w:hint="eastAsia" w:ascii="仿宋" w:hAnsi="仿宋" w:eastAsia="仿宋" w:cs="仿宋"/>
          <w:color w:val="000000"/>
          <w:spacing w:val="1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10"/>
          <w:kern w:val="0"/>
          <w:sz w:val="32"/>
          <w:szCs w:val="32"/>
        </w:rPr>
        <w:t xml:space="preserve">招标中心   李先生0531-76923197  </w:t>
      </w:r>
    </w:p>
    <w:p>
      <w:pPr>
        <w:spacing w:line="580" w:lineRule="exact"/>
        <w:ind w:firstLine="68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pacing w:val="10"/>
          <w:kern w:val="0"/>
          <w:sz w:val="32"/>
          <w:szCs w:val="32"/>
          <w:lang w:eastAsia="zh-CN"/>
        </w:rPr>
        <w:t>制造</w:t>
      </w:r>
      <w:r>
        <w:rPr>
          <w:rFonts w:hint="eastAsia" w:ascii="仿宋" w:hAnsi="仿宋" w:eastAsia="仿宋" w:cs="仿宋"/>
          <w:color w:val="000000"/>
          <w:spacing w:val="10"/>
          <w:kern w:val="0"/>
          <w:sz w:val="32"/>
          <w:szCs w:val="32"/>
        </w:rPr>
        <w:t xml:space="preserve">管理部 </w:t>
      </w:r>
      <w:r>
        <w:rPr>
          <w:rFonts w:hint="eastAsia" w:ascii="仿宋" w:hAnsi="仿宋" w:eastAsia="仿宋" w:cs="仿宋"/>
          <w:color w:val="000000"/>
          <w:spacing w:val="10"/>
          <w:kern w:val="0"/>
          <w:sz w:val="32"/>
          <w:szCs w:val="32"/>
          <w:lang w:val="en-US" w:eastAsia="zh-CN"/>
        </w:rPr>
        <w:t>王</w:t>
      </w:r>
      <w:r>
        <w:rPr>
          <w:rFonts w:hint="eastAsia" w:ascii="仿宋" w:hAnsi="仿宋" w:eastAsia="仿宋" w:cs="仿宋"/>
          <w:color w:val="000000"/>
          <w:spacing w:val="10"/>
          <w:kern w:val="0"/>
          <w:sz w:val="32"/>
          <w:szCs w:val="32"/>
        </w:rPr>
        <w:t>先生0531-</w:t>
      </w:r>
      <w:r>
        <w:rPr>
          <w:rFonts w:hint="eastAsia" w:ascii="仿宋" w:hAnsi="仿宋" w:eastAsia="仿宋" w:cs="仿宋"/>
          <w:color w:val="000000"/>
          <w:spacing w:val="10"/>
          <w:kern w:val="0"/>
          <w:sz w:val="32"/>
          <w:szCs w:val="32"/>
          <w:lang w:val="en-US" w:eastAsia="zh-CN"/>
        </w:rPr>
        <w:t>77920308</w:t>
      </w:r>
    </w:p>
    <w:p>
      <w:pPr>
        <w:spacing w:line="580" w:lineRule="exact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九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、投标运作步骤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both"/>
        <w:textAlignment w:val="center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报名截止</w:t>
      </w:r>
      <w:r>
        <w:rPr>
          <w:rFonts w:hint="eastAsia" w:ascii="仿宋" w:hAnsi="仿宋" w:eastAsia="仿宋" w:cs="仿宋"/>
          <w:sz w:val="32"/>
          <w:szCs w:val="32"/>
        </w:rPr>
        <w:t>时间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及报价截止时间按照投标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网站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bams.shansteelgroup.com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项目设定执行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过期者视为自动放弃。</w:t>
      </w:r>
    </w:p>
    <w:p>
      <w:pPr>
        <w:spacing w:line="58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sz w:val="32"/>
          <w:szCs w:val="32"/>
        </w:rPr>
        <w:t>）投标过程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严格执行国家相关招标法律法规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spacing w:line="58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：投标报价表</w:t>
      </w:r>
    </w:p>
    <w:p>
      <w:pPr>
        <w:rPr>
          <w:rFonts w:hint="eastAsia" w:ascii="仿宋" w:hAnsi="仿宋" w:eastAsia="仿宋" w:cs="仿宋"/>
          <w:szCs w:val="21"/>
        </w:rPr>
      </w:pPr>
    </w:p>
    <w:p>
      <w:pPr>
        <w:ind w:firstLine="420" w:firstLineChars="200"/>
        <w:rPr>
          <w:rFonts w:hint="eastAsia" w:ascii="仿宋" w:hAnsi="仿宋" w:eastAsia="仿宋" w:cs="仿宋"/>
          <w:szCs w:val="21"/>
        </w:rPr>
      </w:pPr>
    </w:p>
    <w:p>
      <w:pPr>
        <w:ind w:firstLine="420" w:firstLineChars="200"/>
        <w:rPr>
          <w:rFonts w:hint="eastAsia" w:ascii="仿宋" w:hAnsi="仿宋" w:eastAsia="仿宋" w:cs="仿宋"/>
          <w:szCs w:val="21"/>
        </w:rPr>
      </w:pPr>
    </w:p>
    <w:p>
      <w:pPr>
        <w:rPr>
          <w:rFonts w:hint="eastAsia" w:ascii="仿宋" w:hAnsi="仿宋" w:eastAsia="仿宋" w:cs="仿宋"/>
          <w:szCs w:val="21"/>
        </w:rPr>
      </w:pPr>
    </w:p>
    <w:p>
      <w:pPr>
        <w:rPr>
          <w:rFonts w:hint="eastAsia" w:ascii="仿宋" w:hAnsi="仿宋" w:eastAsia="仿宋" w:cs="仿宋"/>
          <w:szCs w:val="21"/>
        </w:rPr>
      </w:pPr>
    </w:p>
    <w:p>
      <w:pPr>
        <w:rPr>
          <w:rFonts w:hint="eastAsia" w:ascii="仿宋" w:hAnsi="仿宋" w:eastAsia="仿宋" w:cs="仿宋"/>
          <w:szCs w:val="21"/>
        </w:rPr>
      </w:pPr>
    </w:p>
    <w:p>
      <w:pPr>
        <w:rPr>
          <w:rFonts w:hint="eastAsia" w:ascii="仿宋" w:hAnsi="仿宋" w:eastAsia="仿宋" w:cs="仿宋"/>
          <w:szCs w:val="21"/>
        </w:rPr>
      </w:pPr>
    </w:p>
    <w:p>
      <w:pPr>
        <w:rPr>
          <w:rFonts w:hint="eastAsia" w:ascii="仿宋" w:hAnsi="仿宋" w:eastAsia="仿宋" w:cs="仿宋"/>
          <w:szCs w:val="21"/>
        </w:rPr>
      </w:pPr>
    </w:p>
    <w:p>
      <w:pPr>
        <w:rPr>
          <w:rFonts w:hint="eastAsia" w:ascii="仿宋" w:hAnsi="仿宋" w:eastAsia="仿宋" w:cs="仿宋"/>
          <w:szCs w:val="21"/>
          <w:lang w:val="en-US" w:eastAsia="zh-CN"/>
        </w:rPr>
      </w:pPr>
      <w:r>
        <w:rPr>
          <w:rFonts w:hint="eastAsia" w:ascii="仿宋" w:hAnsi="仿宋" w:eastAsia="仿宋" w:cs="仿宋"/>
          <w:szCs w:val="21"/>
        </w:rPr>
        <w:t>附件</w:t>
      </w:r>
      <w:r>
        <w:rPr>
          <w:rFonts w:hint="eastAsia" w:ascii="仿宋" w:hAnsi="仿宋" w:eastAsia="仿宋" w:cs="仿宋"/>
          <w:szCs w:val="21"/>
          <w:lang w:val="en-US" w:eastAsia="zh-CN"/>
        </w:rPr>
        <w:t>1</w:t>
      </w:r>
    </w:p>
    <w:tbl>
      <w:tblPr>
        <w:tblStyle w:val="9"/>
        <w:tblW w:w="866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60"/>
        <w:gridCol w:w="34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投标类别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投标价格 单位 </w:t>
            </w:r>
            <w:r>
              <w:rPr>
                <w:rFonts w:hint="eastAsia" w:ascii="仿宋" w:hAnsi="仿宋" w:eastAsia="仿宋" w:cs="仿宋"/>
                <w:color w:val="FF0000"/>
                <w:szCs w:val="21"/>
              </w:rPr>
              <w:t>元/</w:t>
            </w:r>
            <w:r>
              <w:rPr>
                <w:rFonts w:hint="eastAsia" w:ascii="仿宋" w:hAnsi="仿宋" w:eastAsia="仿宋" w:cs="仿宋"/>
                <w:color w:val="FF0000"/>
                <w:szCs w:val="21"/>
                <w:lang w:val="en-US" w:eastAsia="zh-CN"/>
              </w:rPr>
              <w:t>平方米*</w:t>
            </w:r>
            <w:r>
              <w:rPr>
                <w:rFonts w:hint="eastAsia" w:ascii="仿宋" w:hAnsi="仿宋" w:eastAsia="仿宋" w:cs="仿宋"/>
                <w:color w:val="FF0000"/>
                <w:szCs w:val="21"/>
              </w:rPr>
              <w:t>月</w:t>
            </w:r>
            <w:r>
              <w:rPr>
                <w:rFonts w:hint="eastAsia" w:ascii="仿宋" w:hAnsi="仿宋" w:eastAsia="仿宋" w:cs="仿宋"/>
                <w:szCs w:val="21"/>
              </w:rPr>
              <w:t>(不含税)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80" w:lineRule="exac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仓储费用</w:t>
            </w:r>
          </w:p>
        </w:tc>
        <w:tc>
          <w:tcPr>
            <w:tcW w:w="3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6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填写要求：手工填写，要求字迹清晰、工整，不允许有涂改痕迹。</w:t>
            </w:r>
          </w:p>
        </w:tc>
      </w:tr>
    </w:tbl>
    <w:p>
      <w:pPr>
        <w:spacing w:line="580" w:lineRule="exact"/>
        <w:ind w:firstLine="420" w:firstLineChars="20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投标单位全称（公章）：       日期：    年   月   日</w:t>
      </w:r>
    </w:p>
    <w:p>
      <w:pPr>
        <w:ind w:firstLine="420" w:firstLineChars="200"/>
        <w:rPr>
          <w:rFonts w:hint="eastAsia" w:ascii="仿宋" w:hAnsi="仿宋" w:eastAsia="仿宋" w:cs="仿宋"/>
          <w:szCs w:val="21"/>
        </w:rPr>
      </w:pPr>
    </w:p>
    <w:p>
      <w:pPr>
        <w:ind w:firstLine="420" w:firstLineChars="200"/>
        <w:rPr>
          <w:rFonts w:hint="eastAsia" w:ascii="仿宋" w:hAnsi="仿宋" w:eastAsia="仿宋" w:cs="仿宋"/>
          <w:szCs w:val="21"/>
        </w:rPr>
      </w:pPr>
    </w:p>
    <w:p>
      <w:pPr>
        <w:rPr>
          <w:rFonts w:hint="eastAsia" w:ascii="仿宋" w:hAnsi="仿宋" w:eastAsia="仿宋" w:cs="仿宋"/>
          <w:szCs w:val="21"/>
        </w:rPr>
      </w:pPr>
    </w:p>
    <w:p>
      <w:pPr>
        <w:rPr>
          <w:rFonts w:hint="eastAsia" w:ascii="仿宋" w:hAnsi="仿宋" w:eastAsia="仿宋" w:cs="仿宋"/>
          <w:szCs w:val="21"/>
        </w:rPr>
      </w:pPr>
    </w:p>
    <w:p>
      <w:pPr>
        <w:rPr>
          <w:rFonts w:hint="eastAsia" w:ascii="仿宋" w:hAnsi="仿宋" w:eastAsia="仿宋" w:cs="仿宋"/>
          <w:szCs w:val="21"/>
        </w:rPr>
      </w:pPr>
    </w:p>
    <w:p>
      <w:pPr>
        <w:rPr>
          <w:rFonts w:hint="eastAsia" w:ascii="仿宋" w:hAnsi="仿宋" w:eastAsia="仿宋" w:cs="仿宋"/>
          <w:szCs w:val="21"/>
        </w:rPr>
      </w:pPr>
    </w:p>
    <w:p>
      <w:pPr>
        <w:rPr>
          <w:rFonts w:hint="eastAsia" w:ascii="仿宋" w:hAnsi="仿宋" w:eastAsia="仿宋" w:cs="仿宋"/>
          <w:szCs w:val="21"/>
        </w:rPr>
      </w:pPr>
    </w:p>
    <w:p>
      <w:pPr>
        <w:rPr>
          <w:rFonts w:hint="eastAsia" w:ascii="仿宋" w:hAnsi="仿宋" w:eastAsia="仿宋" w:cs="仿宋"/>
          <w:szCs w:val="21"/>
        </w:rPr>
      </w:pPr>
    </w:p>
    <w:p>
      <w:pPr>
        <w:rPr>
          <w:rFonts w:hint="eastAsia" w:ascii="仿宋" w:hAnsi="仿宋" w:eastAsia="仿宋" w:cs="仿宋"/>
          <w:szCs w:val="21"/>
        </w:rPr>
      </w:pPr>
    </w:p>
    <w:p>
      <w:pPr>
        <w:rPr>
          <w:rFonts w:hint="eastAsia" w:ascii="仿宋" w:hAnsi="仿宋" w:eastAsia="仿宋" w:cs="仿宋"/>
          <w:szCs w:val="21"/>
        </w:rPr>
      </w:pPr>
    </w:p>
    <w:p>
      <w:pPr>
        <w:rPr>
          <w:rFonts w:hint="eastAsia" w:ascii="仿宋" w:hAnsi="仿宋" w:eastAsia="仿宋" w:cs="仿宋"/>
          <w:szCs w:val="21"/>
        </w:rPr>
      </w:pPr>
    </w:p>
    <w:p>
      <w:pPr>
        <w:rPr>
          <w:rFonts w:hint="eastAsia" w:ascii="仿宋" w:hAnsi="仿宋" w:eastAsia="仿宋" w:cs="仿宋"/>
          <w:szCs w:val="21"/>
        </w:rPr>
      </w:pPr>
    </w:p>
    <w:p>
      <w:pPr>
        <w:rPr>
          <w:rFonts w:hint="eastAsia" w:ascii="仿宋" w:hAnsi="仿宋" w:eastAsia="仿宋" w:cs="仿宋"/>
          <w:szCs w:val="21"/>
        </w:rPr>
      </w:pPr>
    </w:p>
    <w:p>
      <w:pPr>
        <w:rPr>
          <w:rFonts w:hint="eastAsia" w:ascii="仿宋" w:hAnsi="仿宋" w:eastAsia="仿宋" w:cs="仿宋"/>
          <w:szCs w:val="21"/>
        </w:rPr>
      </w:pPr>
    </w:p>
    <w:p>
      <w:pPr>
        <w:rPr>
          <w:rFonts w:hint="eastAsia" w:ascii="仿宋" w:hAnsi="仿宋" w:eastAsia="仿宋" w:cs="仿宋"/>
          <w:szCs w:val="21"/>
        </w:rPr>
      </w:pPr>
    </w:p>
    <w:p>
      <w:pPr>
        <w:rPr>
          <w:rFonts w:hint="eastAsia" w:ascii="仿宋" w:hAnsi="仿宋" w:eastAsia="仿宋" w:cs="仿宋"/>
          <w:szCs w:val="21"/>
        </w:rPr>
      </w:pPr>
    </w:p>
    <w:p>
      <w:pPr>
        <w:rPr>
          <w:rFonts w:hint="eastAsia" w:ascii="仿宋" w:hAnsi="仿宋" w:eastAsia="仿宋" w:cs="仿宋"/>
          <w:szCs w:val="21"/>
        </w:rPr>
      </w:pPr>
    </w:p>
    <w:p>
      <w:pPr>
        <w:rPr>
          <w:rFonts w:hint="eastAsia" w:ascii="仿宋" w:hAnsi="仿宋" w:eastAsia="仿宋" w:cs="仿宋"/>
          <w:szCs w:val="21"/>
        </w:rPr>
      </w:pPr>
    </w:p>
    <w:p>
      <w:pPr>
        <w:rPr>
          <w:rFonts w:hint="eastAsia" w:ascii="仿宋" w:hAnsi="仿宋" w:eastAsia="仿宋" w:cs="仿宋"/>
          <w:szCs w:val="21"/>
        </w:rPr>
      </w:pPr>
    </w:p>
    <w:sectPr>
      <w:headerReference r:id="rId3" w:type="default"/>
      <w:footerReference r:id="rId4" w:type="default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F8F"/>
    <w:rsid w:val="00001EE8"/>
    <w:rsid w:val="00005530"/>
    <w:rsid w:val="0002718E"/>
    <w:rsid w:val="00030412"/>
    <w:rsid w:val="000400AF"/>
    <w:rsid w:val="0004333D"/>
    <w:rsid w:val="000569FD"/>
    <w:rsid w:val="00062736"/>
    <w:rsid w:val="0007086D"/>
    <w:rsid w:val="00072DCE"/>
    <w:rsid w:val="00076475"/>
    <w:rsid w:val="00093ADC"/>
    <w:rsid w:val="000A48C1"/>
    <w:rsid w:val="000B3CC8"/>
    <w:rsid w:val="000B4C05"/>
    <w:rsid w:val="000C7894"/>
    <w:rsid w:val="000D0EDA"/>
    <w:rsid w:val="000D5A8F"/>
    <w:rsid w:val="000E0180"/>
    <w:rsid w:val="000E209A"/>
    <w:rsid w:val="000E2433"/>
    <w:rsid w:val="000E420A"/>
    <w:rsid w:val="000E478A"/>
    <w:rsid w:val="00100FE5"/>
    <w:rsid w:val="001055E1"/>
    <w:rsid w:val="00110341"/>
    <w:rsid w:val="00114CCF"/>
    <w:rsid w:val="00125D14"/>
    <w:rsid w:val="00144F17"/>
    <w:rsid w:val="0014732C"/>
    <w:rsid w:val="00167188"/>
    <w:rsid w:val="0016744A"/>
    <w:rsid w:val="001758F1"/>
    <w:rsid w:val="00182ED9"/>
    <w:rsid w:val="00190336"/>
    <w:rsid w:val="0019556A"/>
    <w:rsid w:val="00196F79"/>
    <w:rsid w:val="001A298D"/>
    <w:rsid w:val="001C722D"/>
    <w:rsid w:val="00214BCD"/>
    <w:rsid w:val="00230ADC"/>
    <w:rsid w:val="00234131"/>
    <w:rsid w:val="00251E39"/>
    <w:rsid w:val="00260F3F"/>
    <w:rsid w:val="00277117"/>
    <w:rsid w:val="00295E8D"/>
    <w:rsid w:val="002A3F78"/>
    <w:rsid w:val="002A76A7"/>
    <w:rsid w:val="002B012E"/>
    <w:rsid w:val="002B2566"/>
    <w:rsid w:val="002B282D"/>
    <w:rsid w:val="002B6962"/>
    <w:rsid w:val="002C1018"/>
    <w:rsid w:val="002C3A32"/>
    <w:rsid w:val="002C5CD5"/>
    <w:rsid w:val="002D67C1"/>
    <w:rsid w:val="002E21E2"/>
    <w:rsid w:val="003050BB"/>
    <w:rsid w:val="00305F0B"/>
    <w:rsid w:val="00320ED6"/>
    <w:rsid w:val="003270C6"/>
    <w:rsid w:val="003533C6"/>
    <w:rsid w:val="0038387F"/>
    <w:rsid w:val="003A5B00"/>
    <w:rsid w:val="003A6A4E"/>
    <w:rsid w:val="003B3488"/>
    <w:rsid w:val="003C0E1B"/>
    <w:rsid w:val="003D1A4B"/>
    <w:rsid w:val="003E47A6"/>
    <w:rsid w:val="003F28E9"/>
    <w:rsid w:val="004145F6"/>
    <w:rsid w:val="004156F1"/>
    <w:rsid w:val="00417A1A"/>
    <w:rsid w:val="00434C46"/>
    <w:rsid w:val="0046110B"/>
    <w:rsid w:val="00474747"/>
    <w:rsid w:val="0047483B"/>
    <w:rsid w:val="004760BC"/>
    <w:rsid w:val="00480F3E"/>
    <w:rsid w:val="00490AC3"/>
    <w:rsid w:val="004A2A7D"/>
    <w:rsid w:val="004A2F12"/>
    <w:rsid w:val="004B0BC9"/>
    <w:rsid w:val="004B4D36"/>
    <w:rsid w:val="004B5A9D"/>
    <w:rsid w:val="004C0C54"/>
    <w:rsid w:val="004C23D9"/>
    <w:rsid w:val="004D5E21"/>
    <w:rsid w:val="004D68ED"/>
    <w:rsid w:val="004E26E4"/>
    <w:rsid w:val="004F0105"/>
    <w:rsid w:val="004F7488"/>
    <w:rsid w:val="005105F4"/>
    <w:rsid w:val="00522B77"/>
    <w:rsid w:val="00523CC8"/>
    <w:rsid w:val="005344EE"/>
    <w:rsid w:val="00535714"/>
    <w:rsid w:val="0053675A"/>
    <w:rsid w:val="00541619"/>
    <w:rsid w:val="00547C9D"/>
    <w:rsid w:val="00551301"/>
    <w:rsid w:val="00551C58"/>
    <w:rsid w:val="005554E4"/>
    <w:rsid w:val="00573D09"/>
    <w:rsid w:val="00574021"/>
    <w:rsid w:val="0057489A"/>
    <w:rsid w:val="005800DE"/>
    <w:rsid w:val="005811CE"/>
    <w:rsid w:val="00583695"/>
    <w:rsid w:val="00587059"/>
    <w:rsid w:val="00587903"/>
    <w:rsid w:val="00590F9C"/>
    <w:rsid w:val="00595B1B"/>
    <w:rsid w:val="005B48AB"/>
    <w:rsid w:val="005C3B66"/>
    <w:rsid w:val="005D2212"/>
    <w:rsid w:val="005D5119"/>
    <w:rsid w:val="005D6FE5"/>
    <w:rsid w:val="005E7AA6"/>
    <w:rsid w:val="005E7B02"/>
    <w:rsid w:val="005E7F02"/>
    <w:rsid w:val="005F524D"/>
    <w:rsid w:val="005F7363"/>
    <w:rsid w:val="006010DD"/>
    <w:rsid w:val="00626185"/>
    <w:rsid w:val="00635725"/>
    <w:rsid w:val="00640D2E"/>
    <w:rsid w:val="006470F4"/>
    <w:rsid w:val="0065551F"/>
    <w:rsid w:val="00660DAD"/>
    <w:rsid w:val="00674288"/>
    <w:rsid w:val="00687F44"/>
    <w:rsid w:val="006917AA"/>
    <w:rsid w:val="006A6876"/>
    <w:rsid w:val="006A7470"/>
    <w:rsid w:val="006A7900"/>
    <w:rsid w:val="006B58AB"/>
    <w:rsid w:val="006C2995"/>
    <w:rsid w:val="006D30BE"/>
    <w:rsid w:val="006E0727"/>
    <w:rsid w:val="006E1E23"/>
    <w:rsid w:val="006E79A7"/>
    <w:rsid w:val="006F016C"/>
    <w:rsid w:val="006F7F14"/>
    <w:rsid w:val="0070015D"/>
    <w:rsid w:val="007015FD"/>
    <w:rsid w:val="007111EE"/>
    <w:rsid w:val="00717A8E"/>
    <w:rsid w:val="0072079C"/>
    <w:rsid w:val="00723EA9"/>
    <w:rsid w:val="007241AF"/>
    <w:rsid w:val="00734E99"/>
    <w:rsid w:val="007428B2"/>
    <w:rsid w:val="00743F7E"/>
    <w:rsid w:val="0074634B"/>
    <w:rsid w:val="00750011"/>
    <w:rsid w:val="00755958"/>
    <w:rsid w:val="007574F4"/>
    <w:rsid w:val="00761BCD"/>
    <w:rsid w:val="00764BE1"/>
    <w:rsid w:val="007660C2"/>
    <w:rsid w:val="00780DDC"/>
    <w:rsid w:val="00781AAD"/>
    <w:rsid w:val="00795CDD"/>
    <w:rsid w:val="007A4708"/>
    <w:rsid w:val="007B5678"/>
    <w:rsid w:val="007C1621"/>
    <w:rsid w:val="007C3522"/>
    <w:rsid w:val="007C3B7E"/>
    <w:rsid w:val="007C7DF5"/>
    <w:rsid w:val="007E0CA7"/>
    <w:rsid w:val="007E3E38"/>
    <w:rsid w:val="007E4844"/>
    <w:rsid w:val="007F39A1"/>
    <w:rsid w:val="007F4A1F"/>
    <w:rsid w:val="00800D28"/>
    <w:rsid w:val="00810832"/>
    <w:rsid w:val="00810B1A"/>
    <w:rsid w:val="008141BF"/>
    <w:rsid w:val="00820E28"/>
    <w:rsid w:val="00822920"/>
    <w:rsid w:val="0082737F"/>
    <w:rsid w:val="008303C8"/>
    <w:rsid w:val="008329F2"/>
    <w:rsid w:val="008532F8"/>
    <w:rsid w:val="00856680"/>
    <w:rsid w:val="00876702"/>
    <w:rsid w:val="008858CD"/>
    <w:rsid w:val="00885CBD"/>
    <w:rsid w:val="00891A6D"/>
    <w:rsid w:val="008A52BD"/>
    <w:rsid w:val="008B152A"/>
    <w:rsid w:val="008B7C28"/>
    <w:rsid w:val="008C23B2"/>
    <w:rsid w:val="008D50BE"/>
    <w:rsid w:val="008F0EF7"/>
    <w:rsid w:val="008F20DB"/>
    <w:rsid w:val="008F2A6B"/>
    <w:rsid w:val="008F6F3C"/>
    <w:rsid w:val="009022C6"/>
    <w:rsid w:val="00922619"/>
    <w:rsid w:val="00926307"/>
    <w:rsid w:val="00927AEF"/>
    <w:rsid w:val="00942201"/>
    <w:rsid w:val="00945F70"/>
    <w:rsid w:val="00961411"/>
    <w:rsid w:val="00963192"/>
    <w:rsid w:val="00967895"/>
    <w:rsid w:val="0099019A"/>
    <w:rsid w:val="009A32C4"/>
    <w:rsid w:val="009A62BC"/>
    <w:rsid w:val="009C1CA2"/>
    <w:rsid w:val="009C771F"/>
    <w:rsid w:val="009D505F"/>
    <w:rsid w:val="009E57EC"/>
    <w:rsid w:val="00A114C4"/>
    <w:rsid w:val="00A125DC"/>
    <w:rsid w:val="00A1436B"/>
    <w:rsid w:val="00A310F5"/>
    <w:rsid w:val="00A55979"/>
    <w:rsid w:val="00A57C7F"/>
    <w:rsid w:val="00A63ECA"/>
    <w:rsid w:val="00A745B9"/>
    <w:rsid w:val="00A8332A"/>
    <w:rsid w:val="00A96D26"/>
    <w:rsid w:val="00AA1B23"/>
    <w:rsid w:val="00AB0EAF"/>
    <w:rsid w:val="00AB4639"/>
    <w:rsid w:val="00AC1FF3"/>
    <w:rsid w:val="00AC20B7"/>
    <w:rsid w:val="00AC3197"/>
    <w:rsid w:val="00AC4BC4"/>
    <w:rsid w:val="00AD7C7C"/>
    <w:rsid w:val="00AE1F4E"/>
    <w:rsid w:val="00AE3EE6"/>
    <w:rsid w:val="00B038EF"/>
    <w:rsid w:val="00B147D9"/>
    <w:rsid w:val="00B21F0E"/>
    <w:rsid w:val="00B40E42"/>
    <w:rsid w:val="00B5153B"/>
    <w:rsid w:val="00B55E6B"/>
    <w:rsid w:val="00B65E81"/>
    <w:rsid w:val="00B74211"/>
    <w:rsid w:val="00B76DD7"/>
    <w:rsid w:val="00BA35A9"/>
    <w:rsid w:val="00BB2E1F"/>
    <w:rsid w:val="00BC0E1C"/>
    <w:rsid w:val="00BC5136"/>
    <w:rsid w:val="00BE1A40"/>
    <w:rsid w:val="00BE5CA1"/>
    <w:rsid w:val="00C011AA"/>
    <w:rsid w:val="00C06365"/>
    <w:rsid w:val="00C10405"/>
    <w:rsid w:val="00C10BF3"/>
    <w:rsid w:val="00C15210"/>
    <w:rsid w:val="00C169CB"/>
    <w:rsid w:val="00C33433"/>
    <w:rsid w:val="00C37640"/>
    <w:rsid w:val="00C53DED"/>
    <w:rsid w:val="00C606E8"/>
    <w:rsid w:val="00C704A5"/>
    <w:rsid w:val="00C71DBE"/>
    <w:rsid w:val="00C8127A"/>
    <w:rsid w:val="00C83A3F"/>
    <w:rsid w:val="00CA05AC"/>
    <w:rsid w:val="00CA3284"/>
    <w:rsid w:val="00CB62D3"/>
    <w:rsid w:val="00CD5A3F"/>
    <w:rsid w:val="00CE33B8"/>
    <w:rsid w:val="00CF3B17"/>
    <w:rsid w:val="00D001CD"/>
    <w:rsid w:val="00D026DE"/>
    <w:rsid w:val="00D20BA3"/>
    <w:rsid w:val="00D21720"/>
    <w:rsid w:val="00D34A41"/>
    <w:rsid w:val="00D34F22"/>
    <w:rsid w:val="00D44D88"/>
    <w:rsid w:val="00D4595D"/>
    <w:rsid w:val="00D55F8F"/>
    <w:rsid w:val="00D849D8"/>
    <w:rsid w:val="00DA1A7D"/>
    <w:rsid w:val="00DA7DD9"/>
    <w:rsid w:val="00DB75A0"/>
    <w:rsid w:val="00DC28D9"/>
    <w:rsid w:val="00DE12D0"/>
    <w:rsid w:val="00DE1434"/>
    <w:rsid w:val="00DE452F"/>
    <w:rsid w:val="00E16376"/>
    <w:rsid w:val="00E2398E"/>
    <w:rsid w:val="00E34DE3"/>
    <w:rsid w:val="00E6387D"/>
    <w:rsid w:val="00E65296"/>
    <w:rsid w:val="00E72348"/>
    <w:rsid w:val="00E7797B"/>
    <w:rsid w:val="00E82EFA"/>
    <w:rsid w:val="00E8331E"/>
    <w:rsid w:val="00E87A21"/>
    <w:rsid w:val="00E968EB"/>
    <w:rsid w:val="00EA75DA"/>
    <w:rsid w:val="00EE1C66"/>
    <w:rsid w:val="00EE4C8F"/>
    <w:rsid w:val="00EF28DB"/>
    <w:rsid w:val="00EF5D6B"/>
    <w:rsid w:val="00EF6362"/>
    <w:rsid w:val="00F077F1"/>
    <w:rsid w:val="00F12CF1"/>
    <w:rsid w:val="00F24B73"/>
    <w:rsid w:val="00F333E6"/>
    <w:rsid w:val="00F40921"/>
    <w:rsid w:val="00F536DB"/>
    <w:rsid w:val="00F70C83"/>
    <w:rsid w:val="00F749A5"/>
    <w:rsid w:val="00F8489E"/>
    <w:rsid w:val="00F84EC0"/>
    <w:rsid w:val="00F85A5B"/>
    <w:rsid w:val="00F90883"/>
    <w:rsid w:val="00F96FB9"/>
    <w:rsid w:val="00FA31CD"/>
    <w:rsid w:val="00FA7C12"/>
    <w:rsid w:val="00FB1F90"/>
    <w:rsid w:val="00FB72CD"/>
    <w:rsid w:val="00FC1392"/>
    <w:rsid w:val="00FD67C3"/>
    <w:rsid w:val="00FD740B"/>
    <w:rsid w:val="00FF1D40"/>
    <w:rsid w:val="034014A1"/>
    <w:rsid w:val="035A19D2"/>
    <w:rsid w:val="039514F9"/>
    <w:rsid w:val="03F222A7"/>
    <w:rsid w:val="04590FB1"/>
    <w:rsid w:val="06427CBE"/>
    <w:rsid w:val="06701F90"/>
    <w:rsid w:val="08C05B32"/>
    <w:rsid w:val="09706A8B"/>
    <w:rsid w:val="09C51A18"/>
    <w:rsid w:val="0A397505"/>
    <w:rsid w:val="0B06267E"/>
    <w:rsid w:val="0F8C5198"/>
    <w:rsid w:val="0FB803B2"/>
    <w:rsid w:val="101074FD"/>
    <w:rsid w:val="113E31CD"/>
    <w:rsid w:val="12255CD4"/>
    <w:rsid w:val="12D41AE2"/>
    <w:rsid w:val="148C7D8B"/>
    <w:rsid w:val="148E47F1"/>
    <w:rsid w:val="14EA2F11"/>
    <w:rsid w:val="14EB54F4"/>
    <w:rsid w:val="15E24476"/>
    <w:rsid w:val="167F108A"/>
    <w:rsid w:val="1699707C"/>
    <w:rsid w:val="16CB622C"/>
    <w:rsid w:val="17236193"/>
    <w:rsid w:val="18D4688C"/>
    <w:rsid w:val="198260F2"/>
    <w:rsid w:val="1B0D0BF0"/>
    <w:rsid w:val="229028C4"/>
    <w:rsid w:val="22E17A1D"/>
    <w:rsid w:val="22EE5ADF"/>
    <w:rsid w:val="239A6C76"/>
    <w:rsid w:val="23E94C51"/>
    <w:rsid w:val="259D7770"/>
    <w:rsid w:val="2B8723B0"/>
    <w:rsid w:val="2DBE1DE6"/>
    <w:rsid w:val="2E005886"/>
    <w:rsid w:val="2E1375C0"/>
    <w:rsid w:val="2E20423C"/>
    <w:rsid w:val="2E9A32BA"/>
    <w:rsid w:val="2F190D85"/>
    <w:rsid w:val="31A9476B"/>
    <w:rsid w:val="31B7469D"/>
    <w:rsid w:val="336978E6"/>
    <w:rsid w:val="35140239"/>
    <w:rsid w:val="3742712E"/>
    <w:rsid w:val="374F6B69"/>
    <w:rsid w:val="37AD4590"/>
    <w:rsid w:val="398A0229"/>
    <w:rsid w:val="3B7E4CFD"/>
    <w:rsid w:val="3BBE3294"/>
    <w:rsid w:val="3D504924"/>
    <w:rsid w:val="3DAB1C13"/>
    <w:rsid w:val="3E9726BC"/>
    <w:rsid w:val="3FF86B5D"/>
    <w:rsid w:val="41292850"/>
    <w:rsid w:val="439B4309"/>
    <w:rsid w:val="43F0082A"/>
    <w:rsid w:val="481600E5"/>
    <w:rsid w:val="49C8201A"/>
    <w:rsid w:val="4A147EE0"/>
    <w:rsid w:val="4A7F6BA0"/>
    <w:rsid w:val="4C5D32D8"/>
    <w:rsid w:val="4C947BAF"/>
    <w:rsid w:val="4D454EEE"/>
    <w:rsid w:val="4D922DC1"/>
    <w:rsid w:val="4DD43DBE"/>
    <w:rsid w:val="50835C26"/>
    <w:rsid w:val="57F81A38"/>
    <w:rsid w:val="5ACB4792"/>
    <w:rsid w:val="5CEB0F2B"/>
    <w:rsid w:val="5EB4039B"/>
    <w:rsid w:val="5F092881"/>
    <w:rsid w:val="5F28567D"/>
    <w:rsid w:val="5FF71A00"/>
    <w:rsid w:val="60392971"/>
    <w:rsid w:val="60E2707F"/>
    <w:rsid w:val="624D0690"/>
    <w:rsid w:val="636B451F"/>
    <w:rsid w:val="67884FA6"/>
    <w:rsid w:val="67A869D2"/>
    <w:rsid w:val="67B2192C"/>
    <w:rsid w:val="6A2667E6"/>
    <w:rsid w:val="6ADA4FBB"/>
    <w:rsid w:val="6C9377C8"/>
    <w:rsid w:val="6E2C0351"/>
    <w:rsid w:val="6EE52EB4"/>
    <w:rsid w:val="6F982B34"/>
    <w:rsid w:val="7000374F"/>
    <w:rsid w:val="70761190"/>
    <w:rsid w:val="73891FBF"/>
    <w:rsid w:val="76A04CBA"/>
    <w:rsid w:val="76AF1576"/>
    <w:rsid w:val="77BD020B"/>
    <w:rsid w:val="77CC4F9A"/>
    <w:rsid w:val="78497DE7"/>
    <w:rsid w:val="78586EE0"/>
    <w:rsid w:val="799F331A"/>
    <w:rsid w:val="7AC97D32"/>
    <w:rsid w:val="7BC370FB"/>
    <w:rsid w:val="7E2439E4"/>
    <w:rsid w:val="7E663206"/>
    <w:rsid w:val="7E6E4111"/>
    <w:rsid w:val="7EAB2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iPriority="1" w:name="Default Paragraph Font"/>
    <w:lsdException w:qFormat="1" w:uiPriority="99" w:name="Body Text" w:locked="1"/>
    <w:lsdException w:qFormat="1" w:unhideWhenUsed="0" w:uiPriority="99" w:semiHidden="0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99" w:semiHidden="0" w:name="HTML Preformatted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semiHidden="0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semiHidden/>
    <w:unhideWhenUsed/>
    <w:qFormat/>
    <w:locked/>
    <w:uiPriority w:val="99"/>
    <w:pPr>
      <w:spacing w:afterLines="0" w:afterAutospacing="0" w:line="560" w:lineRule="exact"/>
      <w:ind w:firstLine="880" w:firstLineChars="200"/>
    </w:pPr>
    <w:rPr>
      <w:rFonts w:eastAsia="仿宋_GB2312" w:asciiTheme="minorAscii" w:hAnsiTheme="minorAscii" w:cstheme="minorBidi"/>
      <w:sz w:val="32"/>
    </w:rPr>
  </w:style>
  <w:style w:type="paragraph" w:styleId="4">
    <w:name w:val="Body Text Indent"/>
    <w:basedOn w:val="1"/>
    <w:link w:val="18"/>
    <w:qFormat/>
    <w:locked/>
    <w:uiPriority w:val="99"/>
    <w:pPr>
      <w:ind w:firstLine="720" w:firstLineChars="225"/>
    </w:pPr>
    <w:rPr>
      <w:sz w:val="32"/>
    </w:rPr>
  </w:style>
  <w:style w:type="paragraph" w:styleId="5">
    <w:name w:val="Balloon Text"/>
    <w:basedOn w:val="1"/>
    <w:link w:val="16"/>
    <w:qFormat/>
    <w:uiPriority w:val="99"/>
    <w:rPr>
      <w:sz w:val="18"/>
      <w:szCs w:val="18"/>
    </w:rPr>
  </w:style>
  <w:style w:type="paragraph" w:styleId="6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link w:val="15"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qFormat/>
    <w:uiPriority w:val="99"/>
    <w:rPr>
      <w:rFonts w:cs="Times New Roman"/>
    </w:rPr>
  </w:style>
  <w:style w:type="character" w:customStyle="1" w:styleId="13">
    <w:name w:val="页脚 字符"/>
    <w:link w:val="6"/>
    <w:semiHidden/>
    <w:qFormat/>
    <w:locked/>
    <w:uiPriority w:val="99"/>
    <w:rPr>
      <w:rFonts w:cs="Times New Roman"/>
      <w:sz w:val="18"/>
      <w:szCs w:val="18"/>
    </w:rPr>
  </w:style>
  <w:style w:type="character" w:customStyle="1" w:styleId="14">
    <w:name w:val="页眉 字符"/>
    <w:link w:val="7"/>
    <w:qFormat/>
    <w:locked/>
    <w:uiPriority w:val="99"/>
    <w:rPr>
      <w:rFonts w:cs="Times New Roman"/>
      <w:kern w:val="2"/>
      <w:sz w:val="18"/>
    </w:rPr>
  </w:style>
  <w:style w:type="character" w:customStyle="1" w:styleId="15">
    <w:name w:val="HTML 预设格式 字符"/>
    <w:link w:val="8"/>
    <w:semiHidden/>
    <w:qFormat/>
    <w:locked/>
    <w:uiPriority w:val="99"/>
    <w:rPr>
      <w:rFonts w:ascii="Courier New" w:hAnsi="Courier New" w:cs="Courier New"/>
      <w:sz w:val="20"/>
      <w:szCs w:val="20"/>
    </w:rPr>
  </w:style>
  <w:style w:type="character" w:customStyle="1" w:styleId="16">
    <w:name w:val="批注框文本 字符"/>
    <w:link w:val="5"/>
    <w:qFormat/>
    <w:locked/>
    <w:uiPriority w:val="99"/>
    <w:rPr>
      <w:rFonts w:cs="Times New Roman"/>
      <w:kern w:val="2"/>
      <w:sz w:val="18"/>
      <w:szCs w:val="18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  <w:style w:type="character" w:customStyle="1" w:styleId="18">
    <w:name w:val="正文文本缩进 字符"/>
    <w:link w:val="4"/>
    <w:semiHidden/>
    <w:qFormat/>
    <w:locked/>
    <w:uiPriority w:val="99"/>
    <w:rPr>
      <w:rFonts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7</Pages>
  <Words>356</Words>
  <Characters>2033</Characters>
  <Lines>16</Lines>
  <Paragraphs>4</Paragraphs>
  <TotalTime>1</TotalTime>
  <ScaleCrop>false</ScaleCrop>
  <LinksUpToDate>false</LinksUpToDate>
  <CharactersWithSpaces>2385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2020-06-03T09:01:00Z</dcterms:created>
  <dc:creator>微软用户</dc:creator>
  <cp:lastModifiedBy>王庆会</cp:lastModifiedBy>
  <cp:lastPrinted>2025-05-09T07:27:00Z</cp:lastPrinted>
  <dcterms:modified xsi:type="dcterms:W3CDTF">2025-11-14T06:12:41Z</dcterms:modified>
  <dc:title>莱芜钢铁集团有限公司</dc:title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D0968C74AAC74497B7E35AB6CE2CB34F</vt:lpwstr>
  </property>
</Properties>
</file>