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C9050A">
      <w:pPr>
        <w:pStyle w:val="2"/>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highlight w:val="none"/>
          <w:lang w:val="en-US" w:eastAsia="zh-CN"/>
        </w:rPr>
        <w:t xml:space="preserve"> 竞价采购公告</w:t>
      </w:r>
    </w:p>
    <w:p w14:paraId="2E6BC34F">
      <w:pPr>
        <w:widowControl/>
        <w:numPr>
          <w:ilvl w:val="0"/>
          <w:numId w:val="0"/>
        </w:numPr>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eastAsia="zh-CN"/>
        </w:rPr>
        <w:t>山东时代工程咨询有限公司</w:t>
      </w:r>
      <w:r>
        <w:rPr>
          <w:rFonts w:hint="eastAsia" w:ascii="仿宋" w:hAnsi="仿宋" w:eastAsia="仿宋" w:cs="仿宋"/>
          <w:color w:val="auto"/>
          <w:sz w:val="24"/>
          <w:szCs w:val="24"/>
          <w:highlight w:val="none"/>
        </w:rPr>
        <w:t>受</w:t>
      </w:r>
      <w:r>
        <w:rPr>
          <w:rFonts w:hint="eastAsia" w:ascii="仿宋" w:hAnsi="仿宋" w:eastAsia="仿宋" w:cs="仿宋"/>
          <w:color w:val="auto"/>
          <w:kern w:val="0"/>
          <w:sz w:val="24"/>
          <w:szCs w:val="24"/>
          <w:highlight w:val="none"/>
          <w:u w:val="single"/>
          <w:shd w:val="clear" w:color="auto" w:fill="FFFFFF"/>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kern w:val="0"/>
          <w:sz w:val="24"/>
          <w:szCs w:val="24"/>
          <w:highlight w:val="none"/>
          <w:u w:val="single"/>
          <w:shd w:val="clear" w:color="auto" w:fill="FFFFFF"/>
          <w:lang w:val="en-US" w:eastAsia="zh-CN"/>
        </w:rPr>
        <w:t>山信软件第三方测试验证服务251113</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eastAsia="zh-CN"/>
        </w:rPr>
        <w:t>竞价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72B17D3E">
      <w:pPr>
        <w:widowControl/>
        <w:numPr>
          <w:ilvl w:val="0"/>
          <w:numId w:val="0"/>
        </w:numPr>
        <w:spacing w:line="360" w:lineRule="auto"/>
        <w:ind w:firstLine="482" w:firstLineChars="200"/>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项目名称：</w:t>
      </w:r>
      <w:r>
        <w:rPr>
          <w:rFonts w:hint="eastAsia" w:ascii="仿宋" w:hAnsi="仿宋" w:eastAsia="仿宋" w:cs="仿宋"/>
          <w:color w:val="auto"/>
          <w:kern w:val="0"/>
          <w:sz w:val="24"/>
          <w:szCs w:val="24"/>
          <w:highlight w:val="none"/>
          <w:u w:val="single"/>
          <w:shd w:val="clear" w:color="auto" w:fill="FFFFFF"/>
          <w:lang w:val="en-US" w:eastAsia="zh-CN"/>
        </w:rPr>
        <w:t>山信软件第三方测试验证服务251113</w:t>
      </w:r>
    </w:p>
    <w:p w14:paraId="3B37CEC4">
      <w:pPr>
        <w:widowControl/>
        <w:spacing w:line="360" w:lineRule="auto"/>
        <w:ind w:firstLine="482"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二、项目编号：</w:t>
      </w:r>
      <w:r>
        <w:rPr>
          <w:rFonts w:hint="eastAsia" w:ascii="仿宋" w:hAnsi="仿宋" w:eastAsia="仿宋" w:cs="仿宋"/>
          <w:color w:val="auto"/>
          <w:kern w:val="0"/>
          <w:sz w:val="24"/>
          <w:szCs w:val="24"/>
          <w:highlight w:val="none"/>
          <w:u w:val="single"/>
          <w:shd w:val="clear" w:color="auto" w:fill="FFFFFF"/>
          <w:lang w:val="en-US" w:eastAsia="zh-CN"/>
        </w:rPr>
        <w:t>19185225111390</w:t>
      </w:r>
    </w:p>
    <w:p w14:paraId="7B626CD4">
      <w:pPr>
        <w:pStyle w:val="6"/>
        <w:spacing w:beforeAutospacing="0" w:afterAutospacing="0" w:line="500" w:lineRule="exact"/>
        <w:ind w:firstLine="482" w:firstLineChars="200"/>
        <w:jc w:val="both"/>
        <w:rPr>
          <w:rFonts w:hint="eastAsia" w:ascii="仿宋" w:hAnsi="仿宋" w:eastAsia="仿宋" w:cs="仿宋"/>
          <w:b w:val="0"/>
          <w:bCs/>
          <w:color w:val="auto"/>
          <w:kern w:val="2"/>
          <w:szCs w:val="24"/>
          <w:highlight w:val="none"/>
          <w:lang w:val="en-US" w:eastAsia="zh-CN"/>
        </w:rPr>
      </w:pPr>
      <w:r>
        <w:rPr>
          <w:rFonts w:hint="eastAsia" w:ascii="仿宋" w:hAnsi="仿宋" w:eastAsia="仿宋" w:cs="仿宋"/>
          <w:b/>
          <w:bCs/>
          <w:color w:val="auto"/>
          <w:kern w:val="0"/>
          <w:sz w:val="24"/>
          <w:szCs w:val="24"/>
          <w:highlight w:val="none"/>
          <w:lang w:val="en-US" w:eastAsia="zh-CN"/>
        </w:rPr>
        <w:t>三、服务内容：</w:t>
      </w:r>
    </w:p>
    <w:tbl>
      <w:tblPr>
        <w:tblStyle w:val="7"/>
        <w:tblW w:w="51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782"/>
        <w:gridCol w:w="1742"/>
        <w:gridCol w:w="2153"/>
        <w:gridCol w:w="982"/>
        <w:gridCol w:w="901"/>
        <w:gridCol w:w="1668"/>
        <w:gridCol w:w="1400"/>
      </w:tblGrid>
      <w:tr w14:paraId="65AD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0" w:hRule="atLeast"/>
          <w:tblHeader/>
          <w:jc w:val="center"/>
        </w:trPr>
        <w:tc>
          <w:tcPr>
            <w:tcW w:w="406" w:type="pct"/>
            <w:shd w:val="clear" w:color="auto" w:fill="FFFFFF" w:themeFill="background1"/>
            <w:tcMar>
              <w:top w:w="120" w:type="dxa"/>
              <w:left w:w="0" w:type="dxa"/>
              <w:bottom w:w="120" w:type="dxa"/>
              <w:right w:w="192" w:type="dxa"/>
            </w:tcMar>
            <w:vAlign w:val="center"/>
          </w:tcPr>
          <w:p w14:paraId="0439FC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kern w:val="0"/>
                <w:sz w:val="24"/>
                <w:szCs w:val="24"/>
                <w:highlight w:val="none"/>
                <w:shd w:val="clear" w:color="auto" w:fill="auto"/>
                <w:lang w:val="en-US" w:eastAsia="zh-CN" w:bidi="ar"/>
              </w:rPr>
            </w:pPr>
            <w:r>
              <w:rPr>
                <w:rFonts w:hint="eastAsia" w:ascii="仿宋" w:hAnsi="仿宋" w:eastAsia="仿宋" w:cs="仿宋"/>
                <w:b/>
                <w:bCs/>
                <w:kern w:val="0"/>
                <w:sz w:val="24"/>
                <w:szCs w:val="24"/>
                <w:highlight w:val="none"/>
                <w:shd w:val="clear" w:color="auto" w:fill="auto"/>
                <w:lang w:val="en-US" w:eastAsia="zh-CN" w:bidi="ar"/>
              </w:rPr>
              <w:t>序号</w:t>
            </w:r>
          </w:p>
        </w:tc>
        <w:tc>
          <w:tcPr>
            <w:tcW w:w="904" w:type="pct"/>
            <w:shd w:val="clear" w:color="auto" w:fill="FFFFFF" w:themeFill="background1"/>
            <w:tcMar>
              <w:top w:w="120" w:type="dxa"/>
              <w:left w:w="192" w:type="dxa"/>
              <w:bottom w:w="120" w:type="dxa"/>
              <w:right w:w="192" w:type="dxa"/>
            </w:tcMar>
            <w:vAlign w:val="center"/>
          </w:tcPr>
          <w:p w14:paraId="591771A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kern w:val="2"/>
                <w:sz w:val="24"/>
                <w:szCs w:val="24"/>
                <w:highlight w:val="none"/>
                <w:u w:val="none"/>
                <w:shd w:val="clear" w:color="auto" w:fill="auto"/>
                <w:lang w:val="en-US" w:eastAsia="zh-CN" w:bidi="ar-SA"/>
              </w:rPr>
            </w:pPr>
            <w:r>
              <w:rPr>
                <w:rFonts w:hint="eastAsia" w:ascii="仿宋" w:hAnsi="仿宋" w:eastAsia="仿宋" w:cs="仿宋"/>
                <w:b/>
                <w:bCs/>
                <w:i w:val="0"/>
                <w:iCs w:val="0"/>
                <w:color w:val="000000"/>
                <w:kern w:val="0"/>
                <w:sz w:val="24"/>
                <w:szCs w:val="24"/>
                <w:highlight w:val="none"/>
                <w:u w:val="none"/>
                <w:shd w:val="clear" w:color="auto" w:fill="auto"/>
                <w:lang w:val="en-US" w:eastAsia="zh-CN" w:bidi="ar"/>
              </w:rPr>
              <w:t>名称</w:t>
            </w:r>
          </w:p>
        </w:tc>
        <w:tc>
          <w:tcPr>
            <w:tcW w:w="1118" w:type="pct"/>
            <w:shd w:val="clear" w:color="auto" w:fill="FFFFFF" w:themeFill="background1"/>
            <w:tcMar>
              <w:top w:w="120" w:type="dxa"/>
              <w:left w:w="192" w:type="dxa"/>
              <w:bottom w:w="120" w:type="dxa"/>
              <w:right w:w="192" w:type="dxa"/>
            </w:tcMar>
            <w:vAlign w:val="center"/>
          </w:tcPr>
          <w:p w14:paraId="517AF1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kern w:val="2"/>
                <w:sz w:val="24"/>
                <w:szCs w:val="24"/>
                <w:highlight w:val="none"/>
                <w:u w:val="none"/>
                <w:shd w:val="clear" w:color="auto" w:fill="auto"/>
                <w:lang w:val="en-US" w:eastAsia="zh-CN" w:bidi="ar-SA"/>
              </w:rPr>
            </w:pPr>
            <w:r>
              <w:rPr>
                <w:rFonts w:hint="eastAsia" w:ascii="仿宋" w:hAnsi="仿宋" w:eastAsia="仿宋" w:cs="仿宋"/>
                <w:b/>
                <w:bCs/>
                <w:i w:val="0"/>
                <w:iCs w:val="0"/>
                <w:color w:val="000000"/>
                <w:kern w:val="0"/>
                <w:sz w:val="24"/>
                <w:szCs w:val="24"/>
                <w:highlight w:val="none"/>
                <w:u w:val="none"/>
                <w:shd w:val="clear" w:color="auto" w:fill="auto"/>
                <w:lang w:val="en-US" w:eastAsia="zh-CN" w:bidi="ar"/>
              </w:rPr>
              <w:t>规格型号</w:t>
            </w:r>
          </w:p>
        </w:tc>
        <w:tc>
          <w:tcPr>
            <w:tcW w:w="510" w:type="pct"/>
            <w:shd w:val="clear" w:color="auto" w:fill="FFFFFF" w:themeFill="background1"/>
            <w:tcMar>
              <w:top w:w="120" w:type="dxa"/>
              <w:left w:w="192" w:type="dxa"/>
              <w:bottom w:w="120" w:type="dxa"/>
              <w:right w:w="192" w:type="dxa"/>
            </w:tcMar>
            <w:vAlign w:val="center"/>
          </w:tcPr>
          <w:p w14:paraId="191346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kern w:val="0"/>
                <w:sz w:val="24"/>
                <w:szCs w:val="24"/>
                <w:highlight w:val="none"/>
                <w:shd w:val="clear" w:color="auto" w:fill="auto"/>
                <w:lang w:val="en-US" w:eastAsia="zh-CN" w:bidi="ar"/>
              </w:rPr>
            </w:pPr>
            <w:r>
              <w:rPr>
                <w:rFonts w:hint="eastAsia" w:ascii="仿宋" w:hAnsi="仿宋" w:eastAsia="仿宋" w:cs="仿宋"/>
                <w:b/>
                <w:bCs/>
                <w:kern w:val="0"/>
                <w:sz w:val="24"/>
                <w:szCs w:val="24"/>
                <w:highlight w:val="none"/>
                <w:shd w:val="clear" w:color="auto" w:fill="auto"/>
                <w:lang w:val="en-US" w:eastAsia="zh-CN" w:bidi="ar"/>
              </w:rPr>
              <w:t>单位</w:t>
            </w:r>
          </w:p>
        </w:tc>
        <w:tc>
          <w:tcPr>
            <w:tcW w:w="468" w:type="pct"/>
            <w:shd w:val="clear" w:color="auto" w:fill="FFFFFF" w:themeFill="background1"/>
            <w:tcMar>
              <w:top w:w="120" w:type="dxa"/>
              <w:left w:w="192" w:type="dxa"/>
              <w:bottom w:w="120" w:type="dxa"/>
              <w:right w:w="192" w:type="dxa"/>
            </w:tcMar>
            <w:vAlign w:val="center"/>
          </w:tcPr>
          <w:p w14:paraId="110729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kern w:val="0"/>
                <w:sz w:val="24"/>
                <w:szCs w:val="24"/>
                <w:highlight w:val="none"/>
                <w:shd w:val="clear" w:color="auto" w:fill="auto"/>
                <w:lang w:val="en-US" w:eastAsia="zh-CN" w:bidi="ar"/>
              </w:rPr>
            </w:pPr>
            <w:r>
              <w:rPr>
                <w:rFonts w:hint="eastAsia" w:ascii="仿宋" w:hAnsi="仿宋" w:eastAsia="仿宋" w:cs="仿宋"/>
                <w:b/>
                <w:bCs/>
                <w:kern w:val="0"/>
                <w:sz w:val="24"/>
                <w:szCs w:val="24"/>
                <w:highlight w:val="none"/>
                <w:shd w:val="clear" w:color="auto" w:fill="auto"/>
                <w:lang w:val="en-US" w:eastAsia="zh-CN" w:bidi="ar"/>
              </w:rPr>
              <w:t>数量</w:t>
            </w:r>
          </w:p>
        </w:tc>
        <w:tc>
          <w:tcPr>
            <w:tcW w:w="866" w:type="pct"/>
            <w:shd w:val="clear" w:color="auto" w:fill="FFFFFF" w:themeFill="background1"/>
            <w:tcMar>
              <w:top w:w="120" w:type="dxa"/>
              <w:left w:w="192" w:type="dxa"/>
              <w:bottom w:w="120" w:type="dxa"/>
              <w:right w:w="192" w:type="dxa"/>
            </w:tcMar>
            <w:vAlign w:val="center"/>
          </w:tcPr>
          <w:p w14:paraId="11E445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color w:val="auto"/>
                <w:kern w:val="0"/>
                <w:sz w:val="24"/>
                <w:szCs w:val="24"/>
                <w:highlight w:val="none"/>
                <w:shd w:val="clear" w:color="auto" w:fill="auto"/>
                <w:lang w:val="en-US" w:eastAsia="zh-CN" w:bidi="ar"/>
              </w:rPr>
            </w:pPr>
            <w:r>
              <w:rPr>
                <w:rFonts w:hint="eastAsia" w:ascii="仿宋" w:hAnsi="仿宋" w:eastAsia="仿宋" w:cs="仿宋"/>
                <w:b/>
                <w:bCs/>
                <w:color w:val="auto"/>
                <w:kern w:val="0"/>
                <w:sz w:val="24"/>
                <w:szCs w:val="24"/>
                <w:highlight w:val="none"/>
                <w:shd w:val="clear" w:color="auto" w:fill="auto"/>
                <w:lang w:val="en-US" w:eastAsia="zh-CN" w:bidi="ar"/>
              </w:rPr>
              <w:t>服务期</w:t>
            </w:r>
          </w:p>
        </w:tc>
        <w:tc>
          <w:tcPr>
            <w:tcW w:w="726" w:type="pct"/>
            <w:shd w:val="clear" w:color="auto" w:fill="FFFFFF" w:themeFill="background1"/>
            <w:tcMar>
              <w:top w:w="120" w:type="dxa"/>
              <w:left w:w="192" w:type="dxa"/>
              <w:bottom w:w="120" w:type="dxa"/>
              <w:right w:w="192" w:type="dxa"/>
            </w:tcMar>
            <w:vAlign w:val="center"/>
          </w:tcPr>
          <w:p w14:paraId="653B14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仿宋" w:hAnsi="仿宋" w:eastAsia="仿宋" w:cs="仿宋"/>
                <w:b/>
                <w:bCs/>
                <w:color w:val="auto"/>
                <w:kern w:val="0"/>
                <w:sz w:val="24"/>
                <w:szCs w:val="24"/>
                <w:highlight w:val="none"/>
                <w:shd w:val="clear" w:color="auto" w:fill="auto"/>
                <w:lang w:val="en-US" w:eastAsia="zh-CN" w:bidi="ar"/>
              </w:rPr>
            </w:pPr>
            <w:r>
              <w:rPr>
                <w:rFonts w:hint="eastAsia" w:ascii="仿宋" w:hAnsi="仿宋" w:eastAsia="仿宋" w:cs="仿宋"/>
                <w:b/>
                <w:bCs/>
                <w:color w:val="auto"/>
                <w:kern w:val="0"/>
                <w:sz w:val="24"/>
                <w:szCs w:val="24"/>
                <w:highlight w:val="none"/>
                <w:shd w:val="clear" w:color="auto" w:fill="auto"/>
                <w:lang w:val="en-US" w:eastAsia="zh-CN" w:bidi="ar"/>
              </w:rPr>
              <w:t>实施地点</w:t>
            </w:r>
          </w:p>
        </w:tc>
      </w:tr>
      <w:tr w14:paraId="6157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57" w:hRule="atLeast"/>
          <w:jc w:val="center"/>
        </w:trPr>
        <w:tc>
          <w:tcPr>
            <w:tcW w:w="406" w:type="pct"/>
            <w:shd w:val="clear" w:color="auto" w:fill="auto"/>
            <w:tcMar>
              <w:top w:w="120" w:type="dxa"/>
              <w:left w:w="0" w:type="dxa"/>
              <w:bottom w:w="120" w:type="dxa"/>
              <w:right w:w="192" w:type="dxa"/>
            </w:tcMar>
            <w:vAlign w:val="center"/>
          </w:tcPr>
          <w:p w14:paraId="63D8AC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szCs w:val="20"/>
                <w:highlight w:val="none"/>
              </w:rPr>
            </w:pPr>
            <w:r>
              <w:rPr>
                <w:rFonts w:hint="eastAsia" w:ascii="仿宋" w:hAnsi="仿宋" w:eastAsia="仿宋" w:cs="仿宋"/>
                <w:kern w:val="0"/>
                <w:sz w:val="24"/>
                <w:szCs w:val="24"/>
                <w:highlight w:val="none"/>
                <w:lang w:val="en-US" w:eastAsia="zh-CN" w:bidi="ar"/>
              </w:rPr>
              <w:t>1</w:t>
            </w:r>
          </w:p>
        </w:tc>
        <w:tc>
          <w:tcPr>
            <w:tcW w:w="904" w:type="pct"/>
            <w:shd w:val="clear" w:color="auto" w:fill="auto"/>
            <w:tcMar>
              <w:top w:w="120" w:type="dxa"/>
              <w:left w:w="192" w:type="dxa"/>
              <w:bottom w:w="120" w:type="dxa"/>
              <w:right w:w="192" w:type="dxa"/>
            </w:tcMar>
            <w:vAlign w:val="center"/>
          </w:tcPr>
          <w:p w14:paraId="2BE980C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2"/>
                <w:sz w:val="24"/>
                <w:szCs w:val="24"/>
                <w:highlight w:val="none"/>
                <w:u w:val="none"/>
                <w:lang w:val="en-US" w:eastAsia="zh-CN" w:bidi="ar-SA"/>
              </w:rPr>
              <w:t>山信软件第三方测试验证服务251113</w:t>
            </w:r>
          </w:p>
        </w:tc>
        <w:tc>
          <w:tcPr>
            <w:tcW w:w="1118" w:type="pct"/>
            <w:shd w:val="clear" w:color="auto" w:fill="auto"/>
            <w:tcMar>
              <w:top w:w="120" w:type="dxa"/>
              <w:left w:w="192" w:type="dxa"/>
              <w:bottom w:w="120" w:type="dxa"/>
              <w:right w:w="192" w:type="dxa"/>
            </w:tcMar>
            <w:vAlign w:val="center"/>
          </w:tcPr>
          <w:p w14:paraId="4D4B585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FF"/>
                <w:kern w:val="2"/>
                <w:sz w:val="24"/>
                <w:szCs w:val="24"/>
                <w:highlight w:val="none"/>
                <w:u w:val="singl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项目第三方验收测试、工业操作系统环境测试验证、工业操作系统性能第三方测试、实时数据库性能第三方测试、通信能力测试验证、自研代码情况测试、电子元器件选用分析，以及项目相关的需求分析、方案设计、测试优化、部署上线、试点应用、培训及售后等服务。</w:t>
            </w:r>
          </w:p>
        </w:tc>
        <w:tc>
          <w:tcPr>
            <w:tcW w:w="510" w:type="pct"/>
            <w:shd w:val="clear" w:color="auto" w:fill="auto"/>
            <w:tcMar>
              <w:top w:w="120" w:type="dxa"/>
              <w:left w:w="192" w:type="dxa"/>
              <w:bottom w:w="120" w:type="dxa"/>
              <w:right w:w="192" w:type="dxa"/>
            </w:tcMar>
            <w:vAlign w:val="center"/>
          </w:tcPr>
          <w:p w14:paraId="51F6869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项</w:t>
            </w:r>
          </w:p>
        </w:tc>
        <w:tc>
          <w:tcPr>
            <w:tcW w:w="468" w:type="pct"/>
            <w:shd w:val="clear" w:color="auto" w:fill="auto"/>
            <w:tcMar>
              <w:top w:w="120" w:type="dxa"/>
              <w:left w:w="192" w:type="dxa"/>
              <w:bottom w:w="120" w:type="dxa"/>
              <w:right w:w="192" w:type="dxa"/>
            </w:tcMar>
            <w:vAlign w:val="center"/>
          </w:tcPr>
          <w:p w14:paraId="6EDBE87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w:t>
            </w:r>
          </w:p>
        </w:tc>
        <w:tc>
          <w:tcPr>
            <w:tcW w:w="866" w:type="pct"/>
            <w:shd w:val="clear" w:color="auto" w:fill="auto"/>
            <w:tcMar>
              <w:top w:w="120" w:type="dxa"/>
              <w:left w:w="192" w:type="dxa"/>
              <w:bottom w:w="120" w:type="dxa"/>
              <w:right w:w="192" w:type="dxa"/>
            </w:tcMar>
            <w:vAlign w:val="center"/>
          </w:tcPr>
          <w:p w14:paraId="0FBDD35D">
            <w:pPr>
              <w:keepNext w:val="0"/>
              <w:keepLines w:val="0"/>
              <w:widowControl/>
              <w:suppressLineNumbers w:val="0"/>
              <w:spacing w:before="0" w:beforeAutospacing="0" w:after="0" w:afterAutospacing="0"/>
              <w:ind w:left="0" w:right="0"/>
              <w:jc w:val="center"/>
              <w:textAlignment w:val="bottom"/>
              <w:rPr>
                <w:rFonts w:hint="default"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项目需在2026年8月完成应用验证，全功能达到验收标准。</w:t>
            </w:r>
          </w:p>
        </w:tc>
        <w:tc>
          <w:tcPr>
            <w:tcW w:w="726" w:type="pct"/>
            <w:shd w:val="clear" w:color="auto" w:fill="auto"/>
            <w:tcMar>
              <w:top w:w="120" w:type="dxa"/>
              <w:left w:w="192" w:type="dxa"/>
              <w:bottom w:w="120" w:type="dxa"/>
              <w:right w:w="192" w:type="dxa"/>
            </w:tcMar>
            <w:vAlign w:val="center"/>
          </w:tcPr>
          <w:p w14:paraId="3455857D">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山信软件股份有限公司或招标人指定的其他地点。</w:t>
            </w:r>
          </w:p>
          <w:p w14:paraId="2BF6E36E">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i w:val="0"/>
                <w:iCs w:val="0"/>
                <w:color w:val="000000"/>
                <w:kern w:val="0"/>
                <w:sz w:val="24"/>
                <w:szCs w:val="24"/>
                <w:highlight w:val="none"/>
                <w:u w:val="none"/>
                <w:lang w:val="en-US" w:eastAsia="zh-CN" w:bidi="ar"/>
              </w:rPr>
            </w:pPr>
          </w:p>
        </w:tc>
      </w:tr>
    </w:tbl>
    <w:p w14:paraId="01A8EE19">
      <w:pPr>
        <w:widowControl/>
        <w:shd w:val="clea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须严格按照采购文件要求完成服务。如质量验收不合格，成交供应商须在采购人要求的期限内无条件进行整改或返工，直至质量完全符合要求并通过最终验收为止，由此产生的一切费用和风险由成交供应商承担。</w:t>
      </w:r>
    </w:p>
    <w:p w14:paraId="3BC2B4D8">
      <w:pPr>
        <w:widowControl/>
        <w:shd w:val="clear"/>
        <w:adjustRightInd w:val="0"/>
        <w:snapToGrid w:val="0"/>
        <w:spacing w:line="360" w:lineRule="auto"/>
        <w:ind w:firstLine="482" w:firstLineChars="200"/>
        <w:jc w:val="left"/>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四：成交供应商数量：</w:t>
      </w:r>
      <w:r>
        <w:rPr>
          <w:rFonts w:hint="eastAsia" w:ascii="仿宋" w:hAnsi="仿宋" w:eastAsia="仿宋" w:cs="仿宋"/>
          <w:color w:val="auto"/>
          <w:kern w:val="0"/>
          <w:sz w:val="24"/>
          <w:szCs w:val="24"/>
          <w:highlight w:val="none"/>
          <w:u w:val="single"/>
          <w:shd w:val="clear" w:color="auto" w:fill="FFFFFF"/>
          <w:lang w:val="en-US" w:eastAsia="zh-CN"/>
        </w:rPr>
        <w:t>1家。</w:t>
      </w:r>
    </w:p>
    <w:p w14:paraId="1A048403">
      <w:pPr>
        <w:widowControl/>
        <w:numPr>
          <w:ilvl w:val="0"/>
          <w:numId w:val="1"/>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供应商资格</w:t>
      </w:r>
    </w:p>
    <w:p w14:paraId="031B4B6A">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（1）供应商应为中华人民共和国境内依法成立具有独立的法人资格、具有独立承担民事责任的能力及相应的经营范围；</w:t>
      </w:r>
    </w:p>
    <w:p w14:paraId="236CB4EE">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【提供供应商营业执照(法人登记证) 副本和组织机构代码证副本、税务登记证副本的原件的扫描件 (按照“三证合一、五证合一 ”登记制度进行登记的，提供有效营业执照副本原件的扫描件 )】</w:t>
      </w:r>
    </w:p>
    <w:p w14:paraId="78B6A713">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（2）供应商具有CNAS/CMA资质。</w:t>
      </w:r>
    </w:p>
    <w:p w14:paraId="49977144">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【提供供应商相应资质原件的扫描件】</w:t>
      </w:r>
    </w:p>
    <w:p w14:paraId="60B5CD8F">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（3）财务要求：</w:t>
      </w:r>
    </w:p>
    <w:p w14:paraId="23F78B15">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供应商应提供近三年经会计师事务所或审计机构审计的财务会计报表，包括资产负债表、现金流量表、利润表和财务情况说明书的复印件。近三年财务会计报表年份是指：2022年、2023年、2024年度。（供应商的成立时间少于该规定年份的，应提供成立以来的财务会计报表），新成立的单位不能提供财务会计报表的，需为我方提供具有良好的财务状况和健全的财务会计制度承诺函】</w:t>
      </w:r>
    </w:p>
    <w:p w14:paraId="0805C887">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（4）自2022年9月1日以来（以合同签订时间为准）具有类似项目案例。</w:t>
      </w:r>
    </w:p>
    <w:p w14:paraId="6D8A646B">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【提供：提供合同（封皮页、服务内容、签章页、关键页）、中标通知书原件扫描件证明材料，采购人保留查验合同原件的权利】。</w:t>
      </w:r>
    </w:p>
    <w:p w14:paraId="0C33F18F">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5）信誉要求：供应商应具有良好的财务状况，良好的信誉，没有处于被责令停业，投标资格被取消，财产被接管、冻结或破产状态，2022年10月1日至今在经营活动中无重大违法、违规行为的声明。未被“国家企业信用信息公示系统（www.gsxt.gov.cn）”列入“严重违法失信企业名单”，未被“信用中国（www.creditchina.gov.cn）”或各级信用信息共享平台中列入“失信被执行人”</w:t>
      </w:r>
    </w:p>
    <w:p w14:paraId="275EE777">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【提供相应声明和查询截图，加盖公章】</w:t>
      </w:r>
    </w:p>
    <w:p w14:paraId="45555CAF">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 xml:space="preserve">（6）供应商不得存在下列情形之一（采购代理机构核查）： </w:t>
      </w:r>
    </w:p>
    <w:p w14:paraId="3DF46BF4">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①与采购人存在利害关系且可能影响采购活动公正性；②与本采购项目的其他供应商为同一个单位负责人；③与本采购项目的其他供应商存在控股、管理关系。同一法人机构与其任何分支机构（或同一法人机构的不同分支机构）不得同时参加本项目进行竞价活动。④存在其他违反法律法规、职业道德的情形的；⑤被山东钢铁集团有限公司及权属单位列入合作异常名录的（采购代理机构核查）。</w:t>
      </w:r>
    </w:p>
    <w:p w14:paraId="64EA3038">
      <w:pPr>
        <w:widowControl/>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73549010">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元，供应商报名后无需缴费，自行下载采购文件，报名时间截止2025年11月25</w:t>
      </w:r>
      <w:bookmarkStart w:id="5" w:name="_GoBack"/>
      <w:bookmarkEnd w:id="5"/>
      <w:r>
        <w:rPr>
          <w:rFonts w:hint="eastAsia" w:ascii="仿宋" w:hAnsi="仿宋" w:eastAsia="仿宋" w:cs="仿宋"/>
          <w:bCs/>
          <w:color w:val="auto"/>
          <w:sz w:val="24"/>
          <w:szCs w:val="24"/>
          <w:highlight w:val="none"/>
          <w:lang w:val="en-US" w:eastAsia="zh-CN"/>
        </w:rPr>
        <w:t>日9：00前。</w:t>
      </w:r>
    </w:p>
    <w:p w14:paraId="37C70E19">
      <w:pPr>
        <w:pStyle w:val="3"/>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七、询竞价响应文件的递交   </w:t>
      </w:r>
    </w:p>
    <w:p w14:paraId="7F2785B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single"/>
          <w:lang w:val="en-US" w:eastAsia="zh-CN"/>
        </w:rPr>
        <w:t>网上报价、平台上传盖章扫描版响应文件</w:t>
      </w:r>
      <w:r>
        <w:rPr>
          <w:rFonts w:hint="eastAsia" w:ascii="仿宋" w:hAnsi="仿宋" w:eastAsia="仿宋" w:cs="仿宋"/>
          <w:bCs/>
          <w:color w:val="auto"/>
          <w:sz w:val="24"/>
          <w:szCs w:val="24"/>
          <w:highlight w:val="none"/>
          <w:lang w:val="en-US" w:eastAsia="zh-CN"/>
        </w:rPr>
        <w:t xml:space="preserve"> 。</w:t>
      </w:r>
    </w:p>
    <w:p w14:paraId="437426FC">
      <w:pPr>
        <w:pStyle w:val="10"/>
        <w:spacing w:line="360" w:lineRule="auto"/>
        <w:ind w:left="42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3CE0A537">
      <w:pPr>
        <w:pStyle w:val="10"/>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u w:val="single"/>
          <w:shd w:val="clear" w:color="auto" w:fill="FFFFFF"/>
          <w:lang w:val="en-US" w:eastAsia="zh-CN"/>
        </w:rPr>
        <w:t xml:space="preserve"> 山信软件股份有限公司</w:t>
      </w:r>
    </w:p>
    <w:p w14:paraId="35124CF7">
      <w:pPr>
        <w:pStyle w:val="10"/>
        <w:spacing w:line="360" w:lineRule="auto"/>
        <w:ind w:firstLine="720" w:firstLineChars="300"/>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地</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址：</w:t>
      </w:r>
      <w:r>
        <w:rPr>
          <w:rFonts w:hint="eastAsia" w:ascii="仿宋" w:hAnsi="仿宋" w:eastAsia="仿宋" w:cs="仿宋"/>
          <w:color w:val="auto"/>
          <w:kern w:val="0"/>
          <w:sz w:val="24"/>
          <w:szCs w:val="24"/>
          <w:highlight w:val="none"/>
          <w:u w:val="single"/>
          <w:shd w:val="clear" w:color="auto" w:fill="FFFFFF"/>
          <w:lang w:val="en-US" w:eastAsia="zh-CN"/>
        </w:rPr>
        <w:t>济南市高新区舜华路2000号舜泰广场4号楼</w:t>
      </w:r>
    </w:p>
    <w:p w14:paraId="0E5B1D07">
      <w:pPr>
        <w:pStyle w:val="10"/>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商务</w:t>
      </w:r>
      <w:r>
        <w:rPr>
          <w:rFonts w:hint="eastAsia" w:ascii="仿宋" w:hAnsi="仿宋" w:eastAsia="仿宋" w:cs="仿宋"/>
          <w:color w:val="auto"/>
          <w:sz w:val="24"/>
          <w:szCs w:val="24"/>
          <w:highlight w:val="none"/>
        </w:rPr>
        <w:t>联系人：</w:t>
      </w:r>
      <w:r>
        <w:rPr>
          <w:rFonts w:hint="eastAsia" w:ascii="仿宋" w:hAnsi="仿宋" w:eastAsia="仿宋" w:cs="仿宋"/>
          <w:color w:val="auto"/>
          <w:kern w:val="0"/>
          <w:sz w:val="24"/>
          <w:szCs w:val="24"/>
          <w:highlight w:val="none"/>
          <w:u w:val="single"/>
          <w:shd w:val="clear" w:color="auto" w:fill="FFFFFF"/>
          <w:lang w:val="en-US" w:eastAsia="zh-CN"/>
        </w:rPr>
        <w:t xml:space="preserve"> 孙先生  </w:t>
      </w:r>
    </w:p>
    <w:p w14:paraId="1D5EC153">
      <w:pPr>
        <w:pStyle w:val="10"/>
        <w:spacing w:line="360" w:lineRule="auto"/>
        <w:ind w:firstLine="720" w:firstLineChars="300"/>
        <w:rPr>
          <w:rFonts w:hint="eastAsia" w:ascii="仿宋" w:hAnsi="仿宋" w:eastAsia="仿宋" w:cs="仿宋"/>
          <w:color w:val="auto"/>
          <w:kern w:val="0"/>
          <w:sz w:val="24"/>
          <w:szCs w:val="24"/>
          <w:highlight w:val="none"/>
          <w:u w:val="single"/>
          <w:shd w:val="clear" w:color="auto" w:fill="FFFFFF"/>
          <w:lang w:val="en-US" w:eastAsia="zh-CN"/>
        </w:rPr>
      </w:pPr>
      <w:r>
        <w:rPr>
          <w:rFonts w:hint="eastAsia" w:ascii="仿宋" w:hAnsi="仿宋" w:eastAsia="仿宋" w:cs="仿宋"/>
          <w:color w:val="auto"/>
          <w:sz w:val="24"/>
          <w:szCs w:val="24"/>
          <w:highlight w:val="none"/>
        </w:rPr>
        <w:t>电</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话：</w:t>
      </w:r>
      <w:r>
        <w:rPr>
          <w:rFonts w:hint="eastAsia" w:ascii="仿宋" w:hAnsi="仿宋" w:eastAsia="仿宋" w:cs="仿宋"/>
          <w:color w:val="auto"/>
          <w:kern w:val="0"/>
          <w:sz w:val="24"/>
          <w:szCs w:val="24"/>
          <w:highlight w:val="none"/>
          <w:u w:val="single"/>
          <w:shd w:val="clear" w:color="auto" w:fill="FFFFFF"/>
          <w:lang w:val="en-US" w:eastAsia="zh-CN"/>
        </w:rPr>
        <w:t xml:space="preserve"> 15853178055 </w:t>
      </w:r>
    </w:p>
    <w:p w14:paraId="19109C95">
      <w:pPr>
        <w:pStyle w:val="10"/>
        <w:spacing w:line="360" w:lineRule="auto"/>
        <w:ind w:firstLine="720" w:firstLineChars="300"/>
        <w:rPr>
          <w:rFonts w:hint="eastAsia" w:ascii="仿宋" w:hAnsi="仿宋" w:eastAsia="仿宋" w:cs="仿宋"/>
          <w:color w:val="auto"/>
          <w:kern w:val="0"/>
          <w:sz w:val="24"/>
          <w:szCs w:val="24"/>
          <w:highlight w:val="none"/>
          <w:u w:val="single"/>
          <w:shd w:val="clear" w:color="auto" w:fill="FFFFFF"/>
          <w:lang w:val="en-US" w:eastAsia="zh-CN"/>
        </w:rPr>
      </w:pPr>
      <w:r>
        <w:rPr>
          <w:rFonts w:hint="eastAsia" w:ascii="仿宋" w:hAnsi="仿宋" w:eastAsia="仿宋" w:cs="仿宋"/>
          <w:color w:val="auto"/>
          <w:kern w:val="0"/>
          <w:sz w:val="24"/>
          <w:szCs w:val="24"/>
          <w:highlight w:val="none"/>
          <w:u w:val="single"/>
          <w:shd w:val="clear" w:color="auto" w:fill="FFFFFF"/>
          <w:lang w:val="en-US" w:eastAsia="zh-CN"/>
        </w:rPr>
        <w:t>技术联系人：王先生15628826908</w:t>
      </w:r>
    </w:p>
    <w:p w14:paraId="62DF0CF6">
      <w:pPr>
        <w:pStyle w:val="10"/>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山东时代工程咨询有限公司</w:t>
      </w:r>
    </w:p>
    <w:p w14:paraId="38ADE0A5">
      <w:pPr>
        <w:pStyle w:val="10"/>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济南市高新区舜华路2000号舜泰广场2号楼14层</w:t>
      </w:r>
    </w:p>
    <w:p w14:paraId="29025E2E">
      <w:pPr>
        <w:pStyle w:val="10"/>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eastAsia="zh-CN"/>
        </w:rPr>
        <w:t>孔女士</w:t>
      </w:r>
    </w:p>
    <w:p w14:paraId="6D108425">
      <w:pPr>
        <w:pStyle w:val="10"/>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eastAsia="zh-CN"/>
        </w:rPr>
        <w:t>15615672378</w:t>
      </w:r>
    </w:p>
    <w:p w14:paraId="267351DA">
      <w:pPr>
        <w:pStyle w:val="10"/>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eastAsia="zh-CN"/>
        </w:rPr>
        <w:t>15615672378@163.com</w:t>
      </w:r>
      <w:r>
        <w:rPr>
          <w:rFonts w:hint="eastAsia" w:ascii="仿宋" w:hAnsi="仿宋" w:eastAsia="仿宋" w:cs="仿宋"/>
          <w:color w:val="auto"/>
          <w:sz w:val="24"/>
          <w:szCs w:val="24"/>
          <w:highlight w:val="none"/>
        </w:rPr>
        <w:t xml:space="preserve">    </w:t>
      </w:r>
    </w:p>
    <w:p w14:paraId="76231622">
      <w:pPr>
        <w:pStyle w:val="6"/>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3BF015A2">
      <w:pPr>
        <w:pStyle w:val="6"/>
        <w:spacing w:beforeAutospacing="0" w:afterAutospacing="0" w:line="360" w:lineRule="auto"/>
        <w:ind w:firstLine="480" w:firstLineChars="200"/>
        <w:jc w:val="both"/>
        <w:rPr>
          <w:rFonts w:hint="eastAsia" w:ascii="仿宋" w:hAnsi="仿宋" w:eastAsia="仿宋" w:cs="仿宋"/>
          <w:color w:val="auto"/>
          <w:kern w:val="0"/>
          <w:sz w:val="24"/>
          <w:szCs w:val="24"/>
          <w:highlight w:val="none"/>
          <w:u w:val="none"/>
          <w:shd w:val="clear" w:color="auto" w:fill="FFFFFF"/>
          <w:lang w:val="en-US" w:eastAsia="zh-CN" w:bidi="ar-SA"/>
        </w:rPr>
      </w:pPr>
      <w:r>
        <w:rPr>
          <w:rFonts w:hint="eastAsia" w:ascii="仿宋" w:hAnsi="仿宋" w:eastAsia="仿宋" w:cs="仿宋"/>
          <w:color w:val="auto"/>
          <w:kern w:val="0"/>
          <w:sz w:val="24"/>
          <w:szCs w:val="24"/>
          <w:highlight w:val="none"/>
          <w:u w:val="none"/>
          <w:shd w:val="clear" w:color="auto" w:fill="FFFFFF"/>
          <w:lang w:val="en-US" w:eastAsia="zh-CN" w:bidi="ar-SA"/>
        </w:rPr>
        <w:t>山东钢铁集团有限公司招标采购与拍卖管理信息平台（http://bams.shansteelgroup.com）</w:t>
      </w:r>
    </w:p>
    <w:p w14:paraId="08DC8965">
      <w:pPr>
        <w:pStyle w:val="6"/>
        <w:spacing w:beforeAutospacing="0" w:afterAutospacing="0" w:line="360" w:lineRule="auto"/>
        <w:ind w:firstLine="240" w:firstLineChars="1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color w:val="auto"/>
          <w:kern w:val="0"/>
          <w:sz w:val="24"/>
          <w:szCs w:val="24"/>
          <w:highlight w:val="none"/>
          <w:u w:val="none"/>
          <w:shd w:val="clear" w:color="auto" w:fill="FFFFFF"/>
          <w:lang w:val="en-US" w:eastAsia="zh-CN" w:bidi="ar-SA"/>
        </w:rPr>
        <w:t xml:space="preserve"> </w:t>
      </w:r>
      <w:r>
        <w:rPr>
          <w:rFonts w:hint="eastAsia" w:ascii="仿宋" w:hAnsi="仿宋" w:eastAsia="仿宋" w:cs="仿宋"/>
          <w:b/>
          <w:color w:val="auto"/>
          <w:kern w:val="2"/>
          <w:szCs w:val="24"/>
          <w:highlight w:val="none"/>
          <w:lang w:val="en-US" w:eastAsia="zh-CN"/>
        </w:rPr>
        <w:t>十、</w:t>
      </w:r>
      <w:bookmarkStart w:id="0" w:name="_Toc535832514"/>
      <w:r>
        <w:rPr>
          <w:rFonts w:hint="eastAsia" w:ascii="仿宋" w:hAnsi="仿宋" w:eastAsia="仿宋" w:cs="仿宋"/>
          <w:b/>
          <w:color w:val="auto"/>
          <w:kern w:val="2"/>
          <w:szCs w:val="24"/>
          <w:highlight w:val="none"/>
          <w:lang w:val="en-US" w:eastAsia="zh-CN"/>
        </w:rPr>
        <w:t>网上投标步骤</w:t>
      </w:r>
    </w:p>
    <w:p w14:paraId="77D34E43">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1登录网址：</w:t>
      </w:r>
      <w:r>
        <w:rPr>
          <w:rFonts w:hint="eastAsia" w:ascii="仿宋_GB2312" w:hAnsi="仿宋_GB2312" w:eastAsia="仿宋_GB2312" w:cs="仿宋_GB2312"/>
          <w:b/>
          <w:bCs/>
          <w:sz w:val="28"/>
          <w:szCs w:val="28"/>
          <w:highlight w:val="none"/>
          <w:lang w:val="en-US" w:eastAsia="zh-CN"/>
        </w:rPr>
        <w:fldChar w:fldCharType="begin"/>
      </w:r>
      <w:r>
        <w:rPr>
          <w:rFonts w:hint="eastAsia" w:ascii="仿宋_GB2312" w:hAnsi="仿宋_GB2312" w:eastAsia="仿宋_GB2312" w:cs="仿宋_GB2312"/>
          <w:b/>
          <w:bCs/>
          <w:sz w:val="28"/>
          <w:szCs w:val="28"/>
          <w:highlight w:val="none"/>
          <w:lang w:val="en-US" w:eastAsia="zh-CN"/>
        </w:rPr>
        <w:instrText xml:space="preserve"> HYPERLINK "http://bams.shansteelgroup.com，进入到下面界面" </w:instrText>
      </w:r>
      <w:r>
        <w:rPr>
          <w:rFonts w:hint="eastAsia" w:ascii="仿宋_GB2312" w:hAnsi="仿宋_GB2312" w:eastAsia="仿宋_GB2312" w:cs="仿宋_GB2312"/>
          <w:b/>
          <w:bCs/>
          <w:sz w:val="28"/>
          <w:szCs w:val="28"/>
          <w:highlight w:val="none"/>
          <w:lang w:val="en-US" w:eastAsia="zh-CN"/>
        </w:rPr>
        <w:fldChar w:fldCharType="separate"/>
      </w:r>
      <w:r>
        <w:rPr>
          <w:rStyle w:val="9"/>
          <w:rFonts w:hint="eastAsia" w:ascii="仿宋_GB2312" w:hAnsi="仿宋_GB2312" w:eastAsia="仿宋_GB2312" w:cs="仿宋_GB2312"/>
          <w:b/>
          <w:bCs/>
          <w:sz w:val="28"/>
          <w:szCs w:val="28"/>
          <w:highlight w:val="none"/>
          <w:lang w:val="en-US" w:eastAsia="zh-CN"/>
        </w:rPr>
        <w:t>http://bams.shansteelgroup.com</w:t>
      </w:r>
      <w:r>
        <w:rPr>
          <w:rStyle w:val="9"/>
          <w:rFonts w:hint="eastAsia" w:ascii="仿宋_GB2312" w:hAnsi="仿宋_GB2312" w:eastAsia="仿宋_GB2312" w:cs="仿宋_GB2312"/>
          <w:b w:val="0"/>
          <w:bCs w:val="0"/>
          <w:color w:val="auto"/>
          <w:sz w:val="28"/>
          <w:szCs w:val="28"/>
          <w:highlight w:val="none"/>
          <w:u w:val="none"/>
          <w:lang w:val="en-US" w:eastAsia="zh-CN"/>
        </w:rPr>
        <w:t>，</w:t>
      </w:r>
      <w:r>
        <w:rPr>
          <w:rStyle w:val="9"/>
          <w:rFonts w:hint="eastAsia" w:ascii="仿宋_GB2312" w:hAnsi="仿宋_GB2312" w:eastAsia="仿宋_GB2312" w:cs="仿宋_GB2312"/>
          <w:b/>
          <w:bCs/>
          <w:color w:val="000000"/>
          <w:sz w:val="28"/>
          <w:szCs w:val="28"/>
          <w:highlight w:val="none"/>
          <w:u w:val="none"/>
          <w:lang w:val="en-US" w:eastAsia="zh-CN"/>
        </w:rPr>
        <w:t>进入到下面界面</w:t>
      </w:r>
      <w:r>
        <w:rPr>
          <w:rFonts w:hint="eastAsia" w:ascii="仿宋_GB2312" w:hAnsi="仿宋_GB2312" w:eastAsia="仿宋_GB2312" w:cs="仿宋_GB2312"/>
          <w:b/>
          <w:bCs/>
          <w:sz w:val="28"/>
          <w:szCs w:val="28"/>
          <w:highlight w:val="none"/>
          <w:lang w:val="en-US" w:eastAsia="zh-CN"/>
        </w:rPr>
        <w:fldChar w:fldCharType="end"/>
      </w:r>
    </w:p>
    <w:p w14:paraId="4DD6E4F7">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drawing>
          <wp:inline distT="0" distB="0" distL="114300" distR="114300">
            <wp:extent cx="6043930" cy="3249930"/>
            <wp:effectExtent l="0" t="0" r="13970" b="7620"/>
            <wp:docPr id="5"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582681756(1)"/>
                    <pic:cNvPicPr>
                      <a:picLocks noChangeAspect="1"/>
                    </pic:cNvPicPr>
                  </pic:nvPicPr>
                  <pic:blipFill>
                    <a:blip r:embed="rId5"/>
                    <a:stretch>
                      <a:fillRect/>
                    </a:stretch>
                  </pic:blipFill>
                  <pic:spPr>
                    <a:xfrm>
                      <a:off x="0" y="0"/>
                      <a:ext cx="6043930" cy="3249930"/>
                    </a:xfrm>
                    <a:prstGeom prst="rect">
                      <a:avLst/>
                    </a:prstGeom>
                    <a:noFill/>
                    <a:ln>
                      <a:noFill/>
                    </a:ln>
                  </pic:spPr>
                </pic:pic>
              </a:graphicData>
            </a:graphic>
          </wp:inline>
        </w:drawing>
      </w:r>
    </w:p>
    <w:p w14:paraId="23E08DC1">
      <w:pPr>
        <w:numPr>
          <w:ilvl w:val="0"/>
          <w:numId w:val="0"/>
        </w:numPr>
        <w:ind w:leftChars="0" w:firstLine="562" w:firstLineChars="20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在上图左侧供应商入口处依次输入用户名、密码、验证码后，点击登录。</w:t>
      </w:r>
    </w:p>
    <w:p w14:paraId="30EEBFA1">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2 点击“招标文件”后显示如下：</w:t>
      </w:r>
    </w:p>
    <w:p w14:paraId="33C93BA6">
      <w:pPr>
        <w:numPr>
          <w:ilvl w:val="0"/>
          <w:numId w:val="0"/>
        </w:numPr>
        <w:ind w:leftChars="0"/>
        <w:jc w:val="center"/>
        <w:rPr>
          <w:rFonts w:hint="eastAsia" w:ascii="仿宋_GB2312" w:hAnsi="仿宋_GB2312" w:eastAsia="仿宋_GB2312" w:cs="仿宋_GB2312"/>
          <w:b w:val="0"/>
          <w:bCs w:val="0"/>
          <w:color w:val="000000"/>
          <w:sz w:val="28"/>
          <w:szCs w:val="28"/>
          <w:highlight w:val="none"/>
          <w:lang w:val="en-US" w:eastAsia="zh-CN"/>
        </w:rPr>
      </w:pPr>
      <w:r>
        <w:rPr>
          <w:rFonts w:hint="eastAsia" w:ascii="仿宋_GB2312" w:hAnsi="仿宋_GB2312" w:eastAsia="仿宋_GB2312" w:cs="仿宋_GB2312"/>
          <w:b w:val="0"/>
          <w:bCs w:val="0"/>
          <w:color w:val="000000"/>
          <w:sz w:val="28"/>
          <w:szCs w:val="28"/>
          <w:highlight w:val="none"/>
          <w:lang w:val="en-US" w:eastAsia="zh-CN"/>
        </w:rPr>
        <w:drawing>
          <wp:inline distT="0" distB="0" distL="114300" distR="114300">
            <wp:extent cx="6298565" cy="2891790"/>
            <wp:effectExtent l="0" t="0" r="6985" b="3810"/>
            <wp:docPr id="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556005943(1)"/>
                    <pic:cNvPicPr>
                      <a:picLocks noChangeAspect="1"/>
                    </pic:cNvPicPr>
                  </pic:nvPicPr>
                  <pic:blipFill>
                    <a:blip r:embed="rId6"/>
                    <a:stretch>
                      <a:fillRect/>
                    </a:stretch>
                  </pic:blipFill>
                  <pic:spPr>
                    <a:xfrm>
                      <a:off x="0" y="0"/>
                      <a:ext cx="6298565" cy="2891790"/>
                    </a:xfrm>
                    <a:prstGeom prst="rect">
                      <a:avLst/>
                    </a:prstGeom>
                    <a:noFill/>
                    <a:ln>
                      <a:noFill/>
                    </a:ln>
                  </pic:spPr>
                </pic:pic>
              </a:graphicData>
            </a:graphic>
          </wp:inline>
        </w:drawing>
      </w:r>
    </w:p>
    <w:p w14:paraId="57E91743">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3点击上图右侧的红色圈定的“招标文件下载”，进入下面界面</w:t>
      </w:r>
    </w:p>
    <w:p w14:paraId="287D34CB">
      <w:pPr>
        <w:numPr>
          <w:ilvl w:val="0"/>
          <w:numId w:val="0"/>
        </w:numPr>
        <w:ind w:leftChars="0"/>
        <w:jc w:val="center"/>
        <w:rPr>
          <w:rFonts w:hint="eastAsia" w:ascii="仿宋_GB2312" w:hAnsi="仿宋_GB2312" w:eastAsia="仿宋_GB2312" w:cs="仿宋_GB2312"/>
          <w:b w:val="0"/>
          <w:bCs w:val="0"/>
          <w:color w:val="000000"/>
          <w:sz w:val="28"/>
          <w:szCs w:val="28"/>
          <w:highlight w:val="none"/>
          <w:lang w:val="en-US" w:eastAsia="zh-CN"/>
        </w:rPr>
      </w:pPr>
      <w:r>
        <w:rPr>
          <w:rFonts w:hint="eastAsia" w:ascii="仿宋_GB2312" w:hAnsi="仿宋_GB2312" w:eastAsia="仿宋_GB2312" w:cs="仿宋_GB2312"/>
          <w:b w:val="0"/>
          <w:bCs w:val="0"/>
          <w:color w:val="000000"/>
          <w:sz w:val="28"/>
          <w:szCs w:val="28"/>
          <w:highlight w:val="none"/>
          <w:lang w:val="en-US" w:eastAsia="zh-CN"/>
        </w:rPr>
        <w:drawing>
          <wp:inline distT="0" distB="0" distL="114300" distR="114300">
            <wp:extent cx="6101715" cy="2366010"/>
            <wp:effectExtent l="0" t="0" r="13335" b="15240"/>
            <wp:docPr id="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556006315"/>
                    <pic:cNvPicPr>
                      <a:picLocks noChangeAspect="1"/>
                    </pic:cNvPicPr>
                  </pic:nvPicPr>
                  <pic:blipFill>
                    <a:blip r:embed="rId7"/>
                    <a:stretch>
                      <a:fillRect/>
                    </a:stretch>
                  </pic:blipFill>
                  <pic:spPr>
                    <a:xfrm>
                      <a:off x="0" y="0"/>
                      <a:ext cx="6101715" cy="2366010"/>
                    </a:xfrm>
                    <a:prstGeom prst="rect">
                      <a:avLst/>
                    </a:prstGeom>
                    <a:noFill/>
                    <a:ln>
                      <a:noFill/>
                    </a:ln>
                  </pic:spPr>
                </pic:pic>
              </a:graphicData>
            </a:graphic>
          </wp:inline>
        </w:drawing>
      </w:r>
    </w:p>
    <w:p w14:paraId="696106DE">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4 点击上图中的“下载”，下载采购文件，并仔细阅读，报价单需盖章扫描。</w:t>
      </w:r>
    </w:p>
    <w:p w14:paraId="4FF663F3">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5点击下图中的“网上投标”，显示如下：</w:t>
      </w:r>
    </w:p>
    <w:p w14:paraId="68EA924F">
      <w:pPr>
        <w:numPr>
          <w:ilvl w:val="0"/>
          <w:numId w:val="0"/>
        </w:numPr>
        <w:ind w:leftChars="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drawing>
          <wp:inline distT="0" distB="0" distL="114300" distR="114300">
            <wp:extent cx="6028055" cy="3338195"/>
            <wp:effectExtent l="0" t="0" r="10795" b="14605"/>
            <wp:docPr id="6"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582681945(1)"/>
                    <pic:cNvPicPr>
                      <a:picLocks noChangeAspect="1"/>
                    </pic:cNvPicPr>
                  </pic:nvPicPr>
                  <pic:blipFill>
                    <a:blip r:embed="rId8"/>
                    <a:stretch>
                      <a:fillRect/>
                    </a:stretch>
                  </pic:blipFill>
                  <pic:spPr>
                    <a:xfrm>
                      <a:off x="0" y="0"/>
                      <a:ext cx="6028055" cy="3338195"/>
                    </a:xfrm>
                    <a:prstGeom prst="rect">
                      <a:avLst/>
                    </a:prstGeom>
                    <a:noFill/>
                    <a:ln>
                      <a:noFill/>
                    </a:ln>
                  </pic:spPr>
                </pic:pic>
              </a:graphicData>
            </a:graphic>
          </wp:inline>
        </w:drawing>
      </w:r>
    </w:p>
    <w:p w14:paraId="7632DD6B">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6点击“投标制作”后，显示如下：</w:t>
      </w:r>
    </w:p>
    <w:p w14:paraId="3D6E5FEB">
      <w:pPr>
        <w:numPr>
          <w:ilvl w:val="0"/>
          <w:numId w:val="0"/>
        </w:numPr>
        <w:ind w:leftChars="0"/>
        <w:jc w:val="center"/>
        <w:rPr>
          <w:rFonts w:hint="eastAsia" w:ascii="仿宋_GB2312" w:hAnsi="仿宋_GB2312" w:eastAsia="仿宋_GB2312" w:cs="仿宋_GB2312"/>
          <w:b w:val="0"/>
          <w:bCs w:val="0"/>
          <w:color w:val="000000"/>
          <w:sz w:val="28"/>
          <w:szCs w:val="28"/>
          <w:highlight w:val="none"/>
          <w:lang w:val="en-US" w:eastAsia="zh-CN"/>
        </w:rPr>
        <w:sectPr>
          <w:footerReference r:id="rId3" w:type="default"/>
          <w:pgSz w:w="11905" w:h="16838"/>
          <w:pgMar w:top="1701" w:right="1417" w:bottom="1531" w:left="1417" w:header="850" w:footer="992" w:gutter="0"/>
          <w:pgBorders>
            <w:top w:val="none" w:sz="0" w:space="0"/>
            <w:left w:val="none" w:sz="0" w:space="0"/>
            <w:bottom w:val="none" w:sz="0" w:space="0"/>
            <w:right w:val="none" w:sz="0" w:space="0"/>
          </w:pgBorders>
          <w:pgNumType w:fmt="decimal"/>
          <w:cols w:space="0" w:num="1"/>
          <w:rtlGutter w:val="0"/>
          <w:docGrid w:type="lines" w:linePitch="316" w:charSpace="0"/>
        </w:sectPr>
      </w:pPr>
      <w:r>
        <w:rPr>
          <w:rFonts w:hint="eastAsia" w:ascii="仿宋_GB2312" w:hAnsi="仿宋_GB2312" w:eastAsia="仿宋_GB2312" w:cs="仿宋_GB2312"/>
          <w:b w:val="0"/>
          <w:bCs w:val="0"/>
          <w:color w:val="000000"/>
          <w:sz w:val="28"/>
          <w:szCs w:val="28"/>
          <w:highlight w:val="none"/>
          <w:lang w:val="en-US" w:eastAsia="zh-CN"/>
        </w:rPr>
        <w:drawing>
          <wp:inline distT="0" distB="0" distL="114300" distR="114300">
            <wp:extent cx="5827395" cy="1588135"/>
            <wp:effectExtent l="0" t="0" r="1905" b="12065"/>
            <wp:docPr id="7"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1556006507(1)"/>
                    <pic:cNvPicPr>
                      <a:picLocks noChangeAspect="1"/>
                    </pic:cNvPicPr>
                  </pic:nvPicPr>
                  <pic:blipFill>
                    <a:blip r:embed="rId9"/>
                    <a:stretch>
                      <a:fillRect/>
                    </a:stretch>
                  </pic:blipFill>
                  <pic:spPr>
                    <a:xfrm>
                      <a:off x="0" y="0"/>
                      <a:ext cx="5827395" cy="1588135"/>
                    </a:xfrm>
                    <a:prstGeom prst="rect">
                      <a:avLst/>
                    </a:prstGeom>
                    <a:noFill/>
                    <a:ln>
                      <a:noFill/>
                    </a:ln>
                  </pic:spPr>
                </pic:pic>
              </a:graphicData>
            </a:graphic>
          </wp:inline>
        </w:drawing>
      </w:r>
    </w:p>
    <w:p w14:paraId="71F3A8E4">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7 在上图中点击右侧的“投标文件制作”，进入以下界面，并按下图中的步骤依次进行操作：</w:t>
      </w:r>
      <w:r>
        <w:rPr>
          <w:rFonts w:hint="eastAsia" w:ascii="仿宋_GB2312" w:hAnsi="仿宋_GB2312" w:eastAsia="仿宋_GB2312" w:cs="仿宋_GB2312"/>
          <w:b/>
          <w:bCs/>
          <w:sz w:val="28"/>
          <w:szCs w:val="28"/>
          <w:highlight w:val="none"/>
          <w:lang w:val="en-US" w:eastAsia="zh-CN"/>
        </w:rPr>
        <w:drawing>
          <wp:inline distT="0" distB="0" distL="114300" distR="114300">
            <wp:extent cx="8166100" cy="4771390"/>
            <wp:effectExtent l="0" t="0" r="6350" b="10160"/>
            <wp:docPr id="9"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1582682834(1)"/>
                    <pic:cNvPicPr>
                      <a:picLocks noChangeAspect="1"/>
                    </pic:cNvPicPr>
                  </pic:nvPicPr>
                  <pic:blipFill>
                    <a:blip r:embed="rId10"/>
                    <a:stretch>
                      <a:fillRect/>
                    </a:stretch>
                  </pic:blipFill>
                  <pic:spPr>
                    <a:xfrm>
                      <a:off x="0" y="0"/>
                      <a:ext cx="8166100" cy="4771390"/>
                    </a:xfrm>
                    <a:prstGeom prst="rect">
                      <a:avLst/>
                    </a:prstGeom>
                    <a:noFill/>
                    <a:ln>
                      <a:noFill/>
                    </a:ln>
                  </pic:spPr>
                </pic:pic>
              </a:graphicData>
            </a:graphic>
          </wp:inline>
        </w:drawing>
      </w:r>
    </w:p>
    <w:p w14:paraId="5EA12B3B">
      <w:pPr>
        <w:numPr>
          <w:ilvl w:val="0"/>
          <w:numId w:val="0"/>
        </w:numPr>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注：第3步只填写“单价”和“数量”两栏；</w:t>
      </w:r>
    </w:p>
    <w:p w14:paraId="3CCCC7CA">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8以上操作完成后，竞价报价流程完成。完成后可点击“投标查询”，查看投标状态</w:t>
      </w:r>
    </w:p>
    <w:p w14:paraId="22F9D0D2">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drawing>
          <wp:inline distT="0" distB="0" distL="114300" distR="114300">
            <wp:extent cx="8644890" cy="2424430"/>
            <wp:effectExtent l="0" t="0" r="3810" b="13970"/>
            <wp:docPr id="8"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582684629(1)"/>
                    <pic:cNvPicPr>
                      <a:picLocks noChangeAspect="1"/>
                    </pic:cNvPicPr>
                  </pic:nvPicPr>
                  <pic:blipFill>
                    <a:blip r:embed="rId11"/>
                    <a:stretch>
                      <a:fillRect/>
                    </a:stretch>
                  </pic:blipFill>
                  <pic:spPr>
                    <a:xfrm>
                      <a:off x="0" y="0"/>
                      <a:ext cx="8644890" cy="2424430"/>
                    </a:xfrm>
                    <a:prstGeom prst="rect">
                      <a:avLst/>
                    </a:prstGeom>
                    <a:noFill/>
                    <a:ln>
                      <a:noFill/>
                    </a:ln>
                  </pic:spPr>
                </pic:pic>
              </a:graphicData>
            </a:graphic>
          </wp:inline>
        </w:drawing>
      </w:r>
    </w:p>
    <w:p w14:paraId="468167B0">
      <w:pPr>
        <w:numPr>
          <w:ilvl w:val="0"/>
          <w:numId w:val="0"/>
        </w:numPr>
        <w:ind w:leftChars="0"/>
        <w:jc w:val="left"/>
        <w:rPr>
          <w:rFonts w:hint="eastAsia" w:ascii="仿宋_GB2312" w:hAnsi="仿宋_GB2312" w:eastAsia="仿宋_GB2312" w:cs="仿宋_GB2312"/>
          <w:b/>
          <w:bCs/>
          <w:sz w:val="28"/>
          <w:szCs w:val="28"/>
          <w:highlight w:val="none"/>
          <w:lang w:val="en-US" w:eastAsia="zh-CN"/>
        </w:rPr>
      </w:pPr>
    </w:p>
    <w:p w14:paraId="35E8C61A">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9若需要重新投标，可点击“撤回投标”，进行重新操</w:t>
      </w:r>
      <w:bookmarkEnd w:id="0"/>
      <w:bookmarkStart w:id="1" w:name="_Hlt3694737"/>
      <w:bookmarkEnd w:id="1"/>
      <w:bookmarkStart w:id="2" w:name="_Hlt10450950"/>
      <w:bookmarkEnd w:id="2"/>
      <w:bookmarkStart w:id="3" w:name="_Hlt3013640"/>
      <w:bookmarkEnd w:id="3"/>
      <w:bookmarkStart w:id="4" w:name="_Hlt9486019"/>
      <w:bookmarkEnd w:id="4"/>
      <w:r>
        <w:rPr>
          <w:rFonts w:hint="eastAsia" w:ascii="仿宋_GB2312" w:hAnsi="仿宋_GB2312" w:eastAsia="仿宋_GB2312" w:cs="仿宋_GB2312"/>
          <w:b/>
          <w:bCs/>
          <w:sz w:val="28"/>
          <w:szCs w:val="28"/>
          <w:highlight w:val="none"/>
          <w:lang w:val="en-US" w:eastAsia="zh-CN"/>
        </w:rPr>
        <w:t>作。</w:t>
      </w:r>
    </w:p>
    <w:p w14:paraId="7F37DC07">
      <w:pPr>
        <w:spacing w:line="360" w:lineRule="auto"/>
        <w:ind w:firstLine="3840" w:firstLineChars="1600"/>
        <w:jc w:val="right"/>
        <w:rPr>
          <w:rFonts w:hint="eastAsia" w:ascii="仿宋_GB2312" w:hAnsi="仿宋_GB2312" w:eastAsia="仿宋_GB2312" w:cs="仿宋_GB2312"/>
          <w:color w:val="auto"/>
          <w:kern w:val="0"/>
          <w:sz w:val="24"/>
          <w:szCs w:val="24"/>
          <w:highlight w:val="none"/>
          <w:shd w:val="clear" w:color="auto" w:fill="FFFFFF"/>
        </w:rPr>
      </w:pPr>
    </w:p>
    <w:p w14:paraId="7445B13C">
      <w:pPr>
        <w:spacing w:line="360" w:lineRule="auto"/>
        <w:ind w:firstLine="3840" w:firstLineChars="1600"/>
        <w:jc w:val="right"/>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山东时代工程咨询有限公司</w:t>
      </w:r>
    </w:p>
    <w:p w14:paraId="01B3D5F7">
      <w:pPr>
        <w:spacing w:line="360" w:lineRule="auto"/>
        <w:ind w:firstLine="3840" w:firstLineChars="1600"/>
        <w:jc w:val="right"/>
        <w:rPr>
          <w:rFonts w:hint="eastAsia" w:ascii="仿宋" w:hAnsi="仿宋" w:eastAsia="仿宋" w:cs="仿宋"/>
          <w:b/>
          <w:bCs/>
          <w:color w:val="auto"/>
          <w:spacing w:val="7"/>
          <w:sz w:val="32"/>
          <w:szCs w:val="32"/>
          <w:highlight w:val="none"/>
          <w:lang w:val="en-US" w:eastAsia="zh-CN"/>
        </w:rPr>
      </w:pP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20 </w:t>
      </w:r>
      <w:r>
        <w:rPr>
          <w:rFonts w:hint="eastAsia" w:ascii="仿宋" w:hAnsi="仿宋" w:eastAsia="仿宋" w:cs="仿宋"/>
          <w:color w:val="auto"/>
          <w:kern w:val="0"/>
          <w:sz w:val="24"/>
          <w:szCs w:val="24"/>
          <w:highlight w:val="none"/>
          <w:shd w:val="clear" w:color="auto" w:fill="FFFFFF"/>
        </w:rPr>
        <w:t>日</w:t>
      </w:r>
    </w:p>
    <w:p w14:paraId="6CE25E3E"/>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B0189">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C44ADC">
                          <w:pPr>
                            <w:pStyle w:val="4"/>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3C44ADC">
                    <w:pPr>
                      <w:pStyle w:val="4"/>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601A44"/>
    <w:multiLevelType w:val="singleLevel"/>
    <w:tmpl w:val="85601A44"/>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EB22FE"/>
    <w:rsid w:val="58EB22FE"/>
    <w:rsid w:val="6C0F5A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rPr>
  </w:style>
  <w:style w:type="paragraph" w:styleId="3">
    <w:name w:val="heading 2"/>
    <w:basedOn w:val="1"/>
    <w:next w:val="1"/>
    <w:qFormat/>
    <w:uiPriority w:val="0"/>
    <w:pPr>
      <w:keepNext/>
      <w:keepLines/>
      <w:adjustRightInd w:val="0"/>
      <w:ind w:left="425"/>
      <w:jc w:val="left"/>
      <w:textAlignment w:val="baseline"/>
      <w:outlineLvl w:val="1"/>
    </w:pPr>
    <w:rPr>
      <w:rFonts w:ascii="Arial" w:hAnsi="Arial" w:eastAsia="黑体"/>
      <w:b/>
      <w:kern w:val="0"/>
      <w:sz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jc w:val="left"/>
    </w:pPr>
    <w:rPr>
      <w:sz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rPr>
  </w:style>
  <w:style w:type="paragraph" w:styleId="6">
    <w:name w:val="Normal (Web)"/>
    <w:basedOn w:val="1"/>
    <w:next w:val="5"/>
    <w:qFormat/>
    <w:uiPriority w:val="0"/>
    <w:pPr>
      <w:widowControl/>
      <w:spacing w:beforeAutospacing="1" w:afterAutospacing="1"/>
      <w:jc w:val="left"/>
    </w:pPr>
    <w:rPr>
      <w:rFonts w:ascii="宋体" w:hAnsi="宋体"/>
      <w:kern w:val="0"/>
      <w:sz w:val="24"/>
    </w:rPr>
  </w:style>
  <w:style w:type="character" w:styleId="9">
    <w:name w:val="FollowedHyperlink"/>
    <w:basedOn w:val="8"/>
    <w:qFormat/>
    <w:uiPriority w:val="0"/>
    <w:rPr>
      <w:color w:val="4371B7"/>
      <w:u w:val="single"/>
    </w:rPr>
  </w:style>
  <w:style w:type="paragraph" w:customStyle="1" w:styleId="10">
    <w:name w:val="p0"/>
    <w:basedOn w:val="1"/>
    <w:qFormat/>
    <w:uiPriority w:val="0"/>
    <w:pPr>
      <w:widowControl/>
    </w:pPr>
    <w:rPr>
      <w:rFonts w:ascii="Calibri" w:hAnsi="Calibri"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1798</Words>
  <Characters>2013</Characters>
  <Lines>0</Lines>
  <Paragraphs>0</Paragraphs>
  <TotalTime>0</TotalTime>
  <ScaleCrop>false</ScaleCrop>
  <LinksUpToDate>false</LinksUpToDate>
  <CharactersWithSpaces>2051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2025-11-19T09:14:00Z</dcterms:created>
  <dc:creator>刘振</dc:creator>
  <cp:lastModifiedBy>刘振</cp:lastModifiedBy>
  <dcterms:modified xsi:type="dcterms:W3CDTF">2025-11-19T10:18:43Z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44A19B3BCCA34E4B9C66C8C51EF7AA6E_11</vt:lpwstr>
  </property>
  <property fmtid="{D5CDD505-2E9C-101B-9397-08002B2CF9AE}" pid="4" name="KSOTemplateDocerSaveRecord">
    <vt:lpwstr>eyJoZGlkIjoiNGZlOGI1ZGU1NjJkNGMyMmNiY2RlMDNlODRlYjc3N2QiLCJ1c2VySWQiOiI1MjcwMjc5NDcifQ==</vt:lpwstr>
  </property>
</Properties>
</file>