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B5865">
      <w:pPr>
        <w:spacing w:line="580" w:lineRule="exact"/>
        <w:ind w:left="2692" w:hanging="3291" w:hangingChars="745"/>
        <w:jc w:val="center"/>
        <w:rPr>
          <w:rFonts w:hint="eastAsia" w:ascii="宋体" w:hAnsi="宋体" w:cs="宋体"/>
          <w:b/>
          <w:bCs/>
          <w:sz w:val="44"/>
          <w:szCs w:val="44"/>
          <w:lang w:eastAsia="zh-CN"/>
        </w:rPr>
      </w:pPr>
      <w:bookmarkStart w:id="0" w:name="_Hlk42883393"/>
      <w:bookmarkStart w:id="1" w:name="_Hlk42883373"/>
      <w:r>
        <w:rPr>
          <w:rFonts w:hint="eastAsia" w:ascii="宋体" w:hAnsi="宋体" w:cs="宋体"/>
          <w:b/>
          <w:bCs/>
          <w:sz w:val="44"/>
          <w:szCs w:val="44"/>
          <w:lang w:eastAsia="zh-CN"/>
        </w:rPr>
        <w:t>山东钢铁股份有限公司</w:t>
      </w:r>
    </w:p>
    <w:p w14:paraId="11DBE5BD">
      <w:pPr>
        <w:keepNext w:val="0"/>
        <w:keepLines w:val="0"/>
        <w:pageBreakBefore w:val="0"/>
        <w:kinsoku/>
        <w:wordWrap/>
        <w:overflowPunct/>
        <w:topLinePunct w:val="0"/>
        <w:bidi w:val="0"/>
        <w:spacing w:line="580" w:lineRule="exact"/>
        <w:ind w:left="0" w:right="0" w:firstLine="0" w:firstLineChars="0"/>
        <w:jc w:val="center"/>
        <w:rPr>
          <w:rFonts w:hint="eastAsia" w:ascii="黑体" w:hAnsi="黑体" w:eastAsia="黑体" w:cs="宋体"/>
          <w:sz w:val="44"/>
          <w:szCs w:val="44"/>
        </w:rPr>
      </w:pPr>
      <w:r>
        <w:rPr>
          <w:rFonts w:hint="eastAsia" w:ascii="宋体" w:hAnsi="宋体" w:cs="宋体"/>
          <w:b/>
          <w:bCs/>
          <w:sz w:val="44"/>
          <w:szCs w:val="44"/>
          <w:lang w:val="en-US" w:eastAsia="zh-CN"/>
        </w:rPr>
        <w:t>精整材、钢材等</w:t>
      </w:r>
      <w:r>
        <w:rPr>
          <w:rFonts w:hint="eastAsia" w:ascii="宋体" w:hAnsi="宋体" w:cs="宋体"/>
          <w:b/>
          <w:bCs/>
          <w:sz w:val="44"/>
          <w:szCs w:val="44"/>
          <w:lang w:eastAsia="zh-CN"/>
        </w:rPr>
        <w:t>内部倒运业务</w:t>
      </w:r>
      <w:bookmarkEnd w:id="0"/>
      <w:bookmarkEnd w:id="1"/>
      <w:r>
        <w:rPr>
          <w:rFonts w:hint="eastAsia" w:ascii="宋体" w:hAnsi="宋体" w:cs="宋体"/>
          <w:b/>
          <w:bCs/>
          <w:sz w:val="44"/>
          <w:szCs w:val="44"/>
          <w:lang w:val="en-US" w:eastAsia="zh-CN"/>
        </w:rPr>
        <w:t>招标</w:t>
      </w:r>
      <w:r>
        <w:rPr>
          <w:rFonts w:hint="eastAsia" w:ascii="宋体" w:hAnsi="宋体" w:cs="宋体"/>
          <w:b/>
          <w:bCs/>
          <w:sz w:val="44"/>
          <w:szCs w:val="44"/>
        </w:rPr>
        <w:t>文件</w:t>
      </w:r>
    </w:p>
    <w:p w14:paraId="5CB40194">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ascii="黑体" w:hAnsi="黑体" w:eastAsia="黑体" w:cs="宋体"/>
          <w:bCs/>
          <w:sz w:val="32"/>
          <w:szCs w:val="32"/>
        </w:rPr>
      </w:pPr>
      <w:r>
        <w:rPr>
          <w:rFonts w:hint="eastAsia" w:ascii="黑体" w:hAnsi="黑体" w:eastAsia="黑体" w:cs="宋体"/>
          <w:sz w:val="32"/>
          <w:szCs w:val="32"/>
        </w:rPr>
        <w:t>一、</w:t>
      </w:r>
      <w:r>
        <w:rPr>
          <w:rFonts w:hint="eastAsia" w:ascii="黑体" w:hAnsi="黑体" w:eastAsia="黑体" w:cs="宋体"/>
          <w:bCs/>
          <w:sz w:val="32"/>
          <w:szCs w:val="32"/>
        </w:rPr>
        <w:t>招标人</w:t>
      </w:r>
    </w:p>
    <w:p w14:paraId="6C7C29F2">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宋体" w:eastAsia="楷体"/>
          <w:sz w:val="32"/>
          <w:szCs w:val="32"/>
          <w:lang w:eastAsia="zh-CN"/>
        </w:rPr>
      </w:pPr>
      <w:r>
        <w:rPr>
          <w:rFonts w:hint="eastAsia" w:ascii="楷体" w:hAnsi="楷体" w:eastAsia="楷体" w:cs="宋体"/>
          <w:bCs/>
          <w:kern w:val="0"/>
          <w:sz w:val="32"/>
          <w:szCs w:val="32"/>
        </w:rPr>
        <w:t>单位名称：</w:t>
      </w:r>
      <w:r>
        <w:rPr>
          <w:rFonts w:hint="eastAsia" w:ascii="仿宋_GB2312" w:hAnsi="宋体" w:eastAsia="仿宋_GB2312"/>
          <w:sz w:val="32"/>
          <w:szCs w:val="32"/>
          <w:lang w:eastAsia="zh-CN"/>
        </w:rPr>
        <w:t>山东钢铁股份限公司</w:t>
      </w:r>
    </w:p>
    <w:p w14:paraId="4B2765F3">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ascii="黑体" w:hAnsi="黑体" w:eastAsia="黑体" w:cs="宋体"/>
          <w:sz w:val="32"/>
          <w:szCs w:val="32"/>
        </w:rPr>
      </w:pPr>
      <w:r>
        <w:rPr>
          <w:rFonts w:hint="eastAsia" w:ascii="黑体" w:hAnsi="黑体" w:eastAsia="黑体" w:cs="宋体"/>
          <w:sz w:val="32"/>
          <w:szCs w:val="32"/>
        </w:rPr>
        <w:t>二、项目说明</w:t>
      </w:r>
    </w:p>
    <w:p w14:paraId="727A05E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宋体" w:eastAsia="仿宋_GB2312"/>
          <w:sz w:val="32"/>
          <w:szCs w:val="32"/>
        </w:rPr>
      </w:pPr>
      <w:r>
        <w:rPr>
          <w:rFonts w:hint="eastAsia" w:ascii="楷体" w:hAnsi="楷体" w:eastAsia="楷体" w:cs="楷体"/>
          <w:sz w:val="32"/>
          <w:szCs w:val="32"/>
        </w:rPr>
        <w:t>招标名称：</w:t>
      </w:r>
      <w:r>
        <w:rPr>
          <w:rFonts w:hint="eastAsia" w:ascii="仿宋_GB2312" w:hAnsi="宋体" w:eastAsia="仿宋_GB2312"/>
          <w:sz w:val="32"/>
          <w:szCs w:val="32"/>
          <w:lang w:eastAsia="zh-CN"/>
        </w:rPr>
        <w:t>山东钢铁股份有限公司</w:t>
      </w:r>
      <w:r>
        <w:rPr>
          <w:rFonts w:hint="eastAsia" w:ascii="仿宋_GB2312" w:hAnsi="宋体" w:eastAsia="仿宋_GB2312"/>
          <w:sz w:val="32"/>
          <w:szCs w:val="32"/>
          <w:lang w:val="en-US" w:eastAsia="zh-CN"/>
        </w:rPr>
        <w:t>精整材、钢材等</w:t>
      </w:r>
      <w:r>
        <w:rPr>
          <w:rFonts w:hint="eastAsia" w:ascii="仿宋_GB2312" w:hAnsi="宋体" w:eastAsia="仿宋_GB2312"/>
          <w:sz w:val="32"/>
          <w:szCs w:val="32"/>
          <w:lang w:eastAsia="zh-CN"/>
        </w:rPr>
        <w:t>内部倒运业务</w:t>
      </w:r>
    </w:p>
    <w:p w14:paraId="081892B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宋体" w:eastAsia="仿宋_GB2312"/>
          <w:sz w:val="32"/>
          <w:szCs w:val="32"/>
        </w:rPr>
      </w:pPr>
      <w:r>
        <w:rPr>
          <w:rFonts w:hint="eastAsia" w:ascii="楷体" w:hAnsi="楷体" w:eastAsia="楷体" w:cs="楷体"/>
          <w:sz w:val="32"/>
          <w:szCs w:val="32"/>
        </w:rPr>
        <w:t>招标方式：</w:t>
      </w:r>
      <w:r>
        <w:rPr>
          <w:rFonts w:hint="eastAsia" w:ascii="仿宋_GB2312" w:hAnsi="宋体" w:eastAsia="仿宋_GB2312"/>
          <w:sz w:val="32"/>
          <w:szCs w:val="32"/>
          <w:lang w:val="en-US" w:eastAsia="zh-CN"/>
        </w:rPr>
        <w:t>公开招标</w:t>
      </w:r>
    </w:p>
    <w:p w14:paraId="736AE7F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z w:val="32"/>
          <w:szCs w:val="32"/>
          <w:lang w:val="en-US"/>
        </w:rPr>
      </w:pPr>
      <w:r>
        <w:rPr>
          <w:rFonts w:hint="eastAsia" w:ascii="楷体" w:hAnsi="楷体" w:eastAsia="楷体" w:cs="楷体"/>
          <w:sz w:val="32"/>
          <w:szCs w:val="32"/>
        </w:rPr>
        <w:t>招标内容：</w:t>
      </w:r>
      <w:r>
        <w:rPr>
          <w:rFonts w:hint="eastAsia" w:ascii="仿宋_GB2312" w:hAnsi="宋体" w:eastAsia="仿宋_GB2312" w:cs="Times New Roman"/>
          <w:sz w:val="32"/>
          <w:szCs w:val="32"/>
          <w:lang w:val="en-US" w:eastAsia="zh-CN"/>
        </w:rPr>
        <w:t>见报价单</w:t>
      </w:r>
    </w:p>
    <w:p w14:paraId="0F790B0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宋体" w:eastAsia="仿宋_GB2312"/>
          <w:sz w:val="32"/>
          <w:szCs w:val="32"/>
        </w:rPr>
      </w:pPr>
      <w:r>
        <w:rPr>
          <w:rFonts w:hint="eastAsia" w:ascii="楷体" w:hAnsi="楷体" w:eastAsia="楷体" w:cs="楷体"/>
          <w:sz w:val="32"/>
          <w:szCs w:val="32"/>
          <w:lang w:eastAsia="zh-CN"/>
        </w:rPr>
        <w:t>业务</w:t>
      </w:r>
      <w:r>
        <w:rPr>
          <w:rFonts w:hint="eastAsia" w:ascii="楷体" w:hAnsi="楷体" w:eastAsia="楷体" w:cs="楷体"/>
          <w:sz w:val="32"/>
          <w:szCs w:val="32"/>
        </w:rPr>
        <w:t>资源量：</w:t>
      </w:r>
      <w:r>
        <w:rPr>
          <w:rFonts w:hint="eastAsia" w:ascii="仿宋_GB2312" w:hAnsi="宋体" w:eastAsia="仿宋_GB2312"/>
          <w:sz w:val="32"/>
          <w:szCs w:val="32"/>
        </w:rPr>
        <w:t>具体</w:t>
      </w:r>
      <w:r>
        <w:rPr>
          <w:rFonts w:hint="eastAsia" w:ascii="仿宋_GB2312" w:hAnsi="宋体" w:eastAsia="仿宋_GB2312"/>
          <w:sz w:val="32"/>
          <w:szCs w:val="32"/>
          <w:lang w:eastAsia="zh-CN"/>
        </w:rPr>
        <w:t>业务</w:t>
      </w:r>
      <w:r>
        <w:rPr>
          <w:rFonts w:hint="eastAsia" w:ascii="仿宋_GB2312" w:hAnsi="宋体" w:eastAsia="仿宋_GB2312"/>
          <w:sz w:val="32"/>
          <w:szCs w:val="32"/>
        </w:rPr>
        <w:t>量根据招标人</w:t>
      </w:r>
      <w:r>
        <w:rPr>
          <w:rFonts w:hint="eastAsia" w:ascii="仿宋_GB2312" w:hAnsi="宋体" w:eastAsia="仿宋_GB2312"/>
          <w:sz w:val="32"/>
          <w:szCs w:val="32"/>
          <w:lang w:eastAsia="zh-CN"/>
        </w:rPr>
        <w:t>生产</w:t>
      </w:r>
      <w:r>
        <w:rPr>
          <w:rFonts w:hint="eastAsia" w:ascii="仿宋_GB2312" w:hAnsi="宋体" w:eastAsia="仿宋_GB2312"/>
          <w:sz w:val="32"/>
          <w:szCs w:val="32"/>
        </w:rPr>
        <w:t>计划确定，以实际发生量为准。</w:t>
      </w:r>
    </w:p>
    <w:p w14:paraId="6CA1B7E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宋体" w:eastAsia="仿宋_GB2312"/>
          <w:sz w:val="32"/>
          <w:szCs w:val="32"/>
        </w:rPr>
      </w:pPr>
      <w:r>
        <w:rPr>
          <w:rFonts w:hint="eastAsia" w:ascii="楷体_GB2312" w:hAnsi="黑体" w:eastAsia="楷体_GB2312"/>
          <w:sz w:val="32"/>
          <w:szCs w:val="32"/>
        </w:rPr>
        <w:t>服务</w:t>
      </w:r>
      <w:r>
        <w:rPr>
          <w:rFonts w:hint="eastAsia" w:ascii="楷体_GB2312" w:hAnsi="黑体" w:eastAsia="楷体_GB2312"/>
          <w:sz w:val="32"/>
          <w:szCs w:val="32"/>
          <w:lang w:eastAsia="zh-CN"/>
        </w:rPr>
        <w:t>要求</w:t>
      </w:r>
      <w:r>
        <w:rPr>
          <w:rFonts w:hint="eastAsia" w:ascii="楷体_GB2312" w:hAnsi="黑体" w:eastAsia="楷体_GB2312"/>
          <w:sz w:val="32"/>
          <w:szCs w:val="32"/>
        </w:rPr>
        <w:t>：</w:t>
      </w:r>
      <w:r>
        <w:rPr>
          <w:rFonts w:hint="eastAsia" w:ascii="仿宋_GB2312" w:hAnsi="宋体" w:eastAsia="仿宋_GB2312"/>
          <w:color w:val="000000"/>
          <w:kern w:val="0"/>
          <w:sz w:val="32"/>
          <w:szCs w:val="32"/>
        </w:rPr>
        <w:t>服从</w:t>
      </w:r>
      <w:r>
        <w:rPr>
          <w:rFonts w:hint="eastAsia" w:ascii="仿宋_GB2312" w:hAnsi="宋体" w:eastAsia="仿宋_GB2312"/>
          <w:color w:val="000000"/>
          <w:kern w:val="0"/>
          <w:sz w:val="32"/>
          <w:szCs w:val="32"/>
          <w:lang w:eastAsia="zh-CN"/>
        </w:rPr>
        <w:t>招标人</w:t>
      </w:r>
      <w:r>
        <w:rPr>
          <w:rFonts w:hint="eastAsia" w:ascii="仿宋_GB2312" w:hAnsi="宋体" w:eastAsia="仿宋_GB2312"/>
          <w:color w:val="000000"/>
          <w:kern w:val="0"/>
          <w:sz w:val="32"/>
          <w:szCs w:val="32"/>
        </w:rPr>
        <w:t>安排，</w:t>
      </w:r>
      <w:r>
        <w:rPr>
          <w:rFonts w:hint="eastAsia" w:ascii="仿宋" w:hAnsi="仿宋" w:eastAsia="仿宋" w:cs="仿宋"/>
          <w:sz w:val="32"/>
          <w:szCs w:val="32"/>
          <w:lang w:eastAsia="zh-CN"/>
        </w:rPr>
        <w:t>按照招标人要求按时完成作业任务，保障正常生产</w:t>
      </w:r>
      <w:r>
        <w:rPr>
          <w:rFonts w:hint="eastAsia" w:ascii="仿宋" w:hAnsi="仿宋" w:eastAsia="仿宋" w:cs="仿宋"/>
          <w:sz w:val="32"/>
          <w:szCs w:val="32"/>
        </w:rPr>
        <w:t>。</w:t>
      </w:r>
    </w:p>
    <w:p w14:paraId="302ACF2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宋体" w:eastAsia="仿宋_GB2312"/>
          <w:color w:val="auto"/>
          <w:sz w:val="32"/>
          <w:szCs w:val="32"/>
          <w:u w:val="none"/>
        </w:rPr>
      </w:pPr>
      <w:r>
        <w:rPr>
          <w:rFonts w:hint="eastAsia" w:ascii="楷体_GB2312" w:hAnsi="黑体" w:eastAsia="楷体_GB2312"/>
          <w:sz w:val="32"/>
          <w:szCs w:val="32"/>
        </w:rPr>
        <w:t>结算方式：</w:t>
      </w:r>
      <w:r>
        <w:rPr>
          <w:rFonts w:hint="eastAsia" w:ascii="楷体_GB2312" w:hAnsi="黑体" w:eastAsia="楷体_GB2312"/>
          <w:color w:val="auto"/>
          <w:sz w:val="32"/>
          <w:szCs w:val="32"/>
          <w:lang w:val="en-US" w:eastAsia="zh-CN"/>
        </w:rPr>
        <w:t>1.</w:t>
      </w:r>
      <w:r>
        <w:rPr>
          <w:rFonts w:hint="eastAsia" w:ascii="仿宋_GB2312" w:hAnsi="宋体" w:eastAsia="仿宋_GB2312"/>
          <w:color w:val="auto"/>
          <w:sz w:val="32"/>
          <w:szCs w:val="32"/>
        </w:rPr>
        <w:t>按</w:t>
      </w:r>
      <w:r>
        <w:rPr>
          <w:rFonts w:hint="eastAsia" w:ascii="仿宋_GB2312" w:hAnsi="宋体" w:eastAsia="仿宋_GB2312"/>
          <w:color w:val="auto"/>
          <w:sz w:val="32"/>
          <w:szCs w:val="32"/>
          <w:lang w:eastAsia="zh-CN"/>
        </w:rPr>
        <w:t>元</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rPr>
        <w:t>吨结算</w:t>
      </w:r>
      <w:r>
        <w:rPr>
          <w:rFonts w:hint="eastAsia" w:ascii="仿宋_GB2312" w:hAnsi="宋体" w:eastAsia="仿宋_GB2312"/>
          <w:color w:val="auto"/>
          <w:sz w:val="32"/>
          <w:szCs w:val="32"/>
          <w:lang w:eastAsia="zh-CN"/>
        </w:rPr>
        <w:t>，结算额</w:t>
      </w:r>
      <w:r>
        <w:rPr>
          <w:rFonts w:hint="eastAsia" w:ascii="仿宋_GB2312" w:hAnsi="宋体" w:eastAsia="仿宋_GB2312"/>
          <w:color w:val="auto"/>
          <w:sz w:val="32"/>
          <w:szCs w:val="32"/>
          <w:lang w:val="en-US" w:eastAsia="zh-CN"/>
        </w:rPr>
        <w:t>=吨数*中标价。2.</w:t>
      </w:r>
      <w:r>
        <w:rPr>
          <w:rFonts w:hint="eastAsia" w:ascii="仿宋_GB2312" w:hAnsi="仿宋_GB2312" w:eastAsia="仿宋_GB2312"/>
          <w:color w:val="auto"/>
          <w:sz w:val="32"/>
          <w:szCs w:val="32"/>
        </w:rPr>
        <w:t>当月发生费用，</w:t>
      </w:r>
      <w:r>
        <w:rPr>
          <w:rFonts w:hint="eastAsia" w:ascii="仿宋_GB2312" w:hAnsi="宋体" w:eastAsia="仿宋_GB2312"/>
          <w:color w:val="auto"/>
          <w:sz w:val="32"/>
          <w:szCs w:val="32"/>
        </w:rPr>
        <w:t>次月15日前持相关结算票据到相关单位进行审核，审核完毕后转入财务，由财务部门按照规定向中标人支付费用，结算一般采取电子承兑，当以现金方式结算时，按照承兑和现汇的实时折算率在承兑价格基础上扣减相应运费</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3.</w:t>
      </w:r>
      <w:r>
        <w:rPr>
          <w:rFonts w:hint="eastAsia" w:ascii="仿宋_GB2312" w:hAnsi="宋体" w:eastAsia="仿宋_GB2312"/>
          <w:color w:val="auto"/>
          <w:sz w:val="32"/>
          <w:szCs w:val="32"/>
        </w:rPr>
        <w:t>如因乙方原因造成法院协助执行等情形，甲方须直接支付法院或第三人现汇的，甲方有权按照年利率6%-10%扣除承兑汇票转付现汇的资金成本。</w:t>
      </w:r>
    </w:p>
    <w:p w14:paraId="2601950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宋体" w:eastAsia="仿宋_GB2312"/>
          <w:color w:val="auto"/>
          <w:sz w:val="32"/>
          <w:szCs w:val="32"/>
          <w:u w:val="none"/>
        </w:rPr>
      </w:pPr>
      <w:r>
        <w:rPr>
          <w:rFonts w:hint="eastAsia" w:ascii="楷体_GB2312" w:hAnsi="黑体" w:eastAsia="楷体_GB2312"/>
          <w:color w:val="auto"/>
          <w:sz w:val="32"/>
          <w:szCs w:val="32"/>
        </w:rPr>
        <w:t>项目周期：</w:t>
      </w:r>
      <w:r>
        <w:rPr>
          <w:rFonts w:hint="eastAsia" w:ascii="仿宋_GB2312" w:hAnsi="仿宋_GB2312" w:eastAsia="仿宋_GB2312" w:cs="仿宋_GB2312"/>
          <w:color w:val="auto"/>
          <w:sz w:val="32"/>
          <w:szCs w:val="32"/>
          <w:highlight w:val="none"/>
          <w:u w:val="none"/>
          <w:lang w:eastAsia="zh-CN"/>
        </w:rPr>
        <w:t>本项目合同周期为一年，</w:t>
      </w:r>
      <w:r>
        <w:rPr>
          <w:rFonts w:hint="eastAsia" w:ascii="仿宋_GB2312" w:hAnsi="宋体" w:eastAsia="仿宋_GB2312" w:cs="仿宋_GB2312"/>
          <w:color w:val="auto"/>
          <w:sz w:val="32"/>
          <w:szCs w:val="32"/>
          <w:highlight w:val="none"/>
        </w:rPr>
        <w:t>若因不可抗力等因素影响合同执行，时间可顺延</w:t>
      </w:r>
      <w:r>
        <w:rPr>
          <w:rFonts w:hint="eastAsia" w:ascii="仿宋_GB2312" w:hAnsi="宋体" w:eastAsia="仿宋_GB2312"/>
          <w:color w:val="auto"/>
          <w:sz w:val="32"/>
          <w:szCs w:val="32"/>
          <w:highlight w:val="none"/>
          <w:u w:val="none"/>
          <w:lang w:val="en-US" w:eastAsia="zh-CN"/>
        </w:rPr>
        <w:t>。</w:t>
      </w:r>
      <w:r>
        <w:rPr>
          <w:rFonts w:hint="eastAsia" w:ascii="仿宋_GB2312" w:hAnsi="宋体" w:eastAsia="仿宋_GB2312" w:cs="宋体"/>
          <w:color w:val="auto"/>
          <w:sz w:val="32"/>
          <w:szCs w:val="32"/>
          <w:highlight w:val="none"/>
        </w:rPr>
        <w:t>招标方有权根据生产经营情况和公司人力资源</w:t>
      </w:r>
      <w:r>
        <w:rPr>
          <w:rFonts w:hint="eastAsia" w:ascii="仿宋_GB2312" w:hAnsi="宋体" w:eastAsia="仿宋_GB2312" w:cs="宋体"/>
          <w:color w:val="auto"/>
          <w:sz w:val="32"/>
          <w:szCs w:val="32"/>
          <w:highlight w:val="none"/>
          <w:lang w:val="en-US" w:eastAsia="zh-CN"/>
        </w:rPr>
        <w:t>优化</w:t>
      </w:r>
      <w:r>
        <w:rPr>
          <w:rFonts w:hint="eastAsia" w:ascii="仿宋_GB2312" w:hAnsi="宋体" w:eastAsia="仿宋_GB2312" w:cs="宋体"/>
          <w:color w:val="auto"/>
          <w:sz w:val="32"/>
          <w:szCs w:val="32"/>
          <w:highlight w:val="none"/>
        </w:rPr>
        <w:t>，随时</w:t>
      </w:r>
      <w:r>
        <w:rPr>
          <w:rFonts w:hint="eastAsia" w:ascii="仿宋_GB2312" w:hAnsi="宋体" w:eastAsia="仿宋_GB2312" w:cs="宋体"/>
          <w:color w:val="auto"/>
          <w:sz w:val="32"/>
          <w:szCs w:val="32"/>
          <w:highlight w:val="none"/>
          <w:lang w:val="en-US" w:eastAsia="zh-CN"/>
        </w:rPr>
        <w:t>调整业务量或</w:t>
      </w:r>
      <w:r>
        <w:rPr>
          <w:rFonts w:hint="eastAsia" w:ascii="仿宋_GB2312" w:hAnsi="宋体" w:eastAsia="仿宋_GB2312" w:cs="宋体"/>
          <w:color w:val="auto"/>
          <w:sz w:val="32"/>
          <w:szCs w:val="32"/>
          <w:highlight w:val="none"/>
        </w:rPr>
        <w:t>终止合同。</w:t>
      </w:r>
    </w:p>
    <w:p w14:paraId="1493AE76">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ascii="黑体" w:hAnsi="黑体" w:eastAsia="黑体" w:cs="宋体"/>
          <w:color w:val="auto"/>
          <w:sz w:val="32"/>
          <w:szCs w:val="32"/>
        </w:rPr>
      </w:pPr>
      <w:r>
        <w:rPr>
          <w:rFonts w:hint="eastAsia" w:ascii="黑体" w:hAnsi="黑体" w:eastAsia="黑体" w:cs="宋体"/>
          <w:color w:val="auto"/>
          <w:sz w:val="32"/>
          <w:szCs w:val="32"/>
        </w:rPr>
        <w:t>三、投标人须知</w:t>
      </w:r>
    </w:p>
    <w:p w14:paraId="7CDED30B">
      <w:pPr>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leftChars="0" w:right="0" w:firstLine="640" w:firstLineChars="200"/>
        <w:jc w:val="left"/>
        <w:textAlignment w:val="auto"/>
        <w:rPr>
          <w:rFonts w:ascii="仿宋_GB2312" w:hAnsi="宋体" w:eastAsia="仿宋_GB2312"/>
          <w:color w:val="auto"/>
          <w:kern w:val="0"/>
          <w:sz w:val="32"/>
          <w:szCs w:val="32"/>
        </w:rPr>
      </w:pPr>
      <w:r>
        <w:rPr>
          <w:rFonts w:hint="eastAsia" w:ascii="仿宋_GB2312" w:hAnsi="Times New Roman" w:eastAsia="仿宋_GB2312" w:cs="Times New Roman"/>
          <w:color w:val="auto"/>
          <w:sz w:val="32"/>
          <w:szCs w:val="32"/>
        </w:rPr>
        <w:t>本次招标采用网上报名、网上审核的方式。凡有意参加的潜在投标人，在公告期内登陆</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bams.shansteelgroup.com，注册用户成功报名后，要求投标人在电子招标平台及所报名项目里上传法定代表人授权书（适用于非法定代表人投标的情况）、法人身份证复印件,营业执照、企业资质、以及相关业绩证明等原件扫描件</w:t>
      </w:r>
      <w:r>
        <w:rPr>
          <w:rFonts w:hint="eastAsia" w:ascii="仿宋_GB2312" w:hAnsi="Times New Roman" w:eastAsia="仿宋_GB2312" w:cs="Times New Roman"/>
          <w:color w:val="auto"/>
          <w:sz w:val="32"/>
          <w:szCs w:val="32"/>
          <w:lang w:eastAsia="zh-CN"/>
        </w:rPr>
        <w:t>。</w:t>
      </w:r>
    </w:p>
    <w:p w14:paraId="7852D14A">
      <w:pPr>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leftChars="0" w:right="0" w:firstLine="640" w:firstLineChars="200"/>
        <w:jc w:val="left"/>
        <w:textAlignment w:val="auto"/>
        <w:rPr>
          <w:rFonts w:ascii="仿宋_GB2312" w:hAnsi="宋体" w:eastAsia="仿宋_GB2312"/>
          <w:color w:val="auto"/>
          <w:kern w:val="0"/>
          <w:sz w:val="32"/>
          <w:szCs w:val="32"/>
        </w:rPr>
      </w:pPr>
      <w:r>
        <w:rPr>
          <w:rFonts w:hint="eastAsia" w:ascii="仿宋_GB2312" w:hAnsi="宋体" w:eastAsia="仿宋_GB2312"/>
          <w:color w:val="auto"/>
          <w:sz w:val="32"/>
          <w:szCs w:val="32"/>
          <w:lang w:eastAsia="zh-CN"/>
        </w:rPr>
        <w:t>本项目</w:t>
      </w:r>
      <w:r>
        <w:rPr>
          <w:rFonts w:hint="eastAsia" w:ascii="仿宋_GB2312" w:hAnsi="宋体" w:eastAsia="仿宋_GB2312"/>
          <w:color w:val="auto"/>
          <w:sz w:val="32"/>
          <w:szCs w:val="32"/>
        </w:rPr>
        <w:t>所使用</w:t>
      </w:r>
      <w:r>
        <w:rPr>
          <w:rFonts w:hint="eastAsia" w:ascii="仿宋_GB2312" w:hAnsi="宋体" w:eastAsia="仿宋_GB2312"/>
          <w:color w:val="auto"/>
          <w:sz w:val="32"/>
          <w:szCs w:val="32"/>
          <w:lang w:val="en-US" w:eastAsia="zh-CN"/>
        </w:rPr>
        <w:t>车辆</w:t>
      </w:r>
      <w:r>
        <w:rPr>
          <w:rFonts w:hint="eastAsia" w:ascii="仿宋_GB2312" w:hAnsi="宋体" w:eastAsia="仿宋_GB2312"/>
          <w:color w:val="auto"/>
          <w:sz w:val="32"/>
          <w:szCs w:val="32"/>
        </w:rPr>
        <w:t>必须符合</w:t>
      </w:r>
      <w:r>
        <w:rPr>
          <w:rFonts w:hint="eastAsia" w:ascii="仿宋_GB2312" w:hAnsi="宋体" w:eastAsia="仿宋_GB2312"/>
          <w:color w:val="auto"/>
          <w:sz w:val="32"/>
          <w:szCs w:val="32"/>
          <w:lang w:eastAsia="zh-CN"/>
        </w:rPr>
        <w:t>招标人的</w:t>
      </w:r>
      <w:r>
        <w:rPr>
          <w:rFonts w:hint="eastAsia" w:ascii="仿宋_GB2312" w:hAnsi="宋体" w:eastAsia="仿宋_GB2312"/>
          <w:color w:val="auto"/>
          <w:sz w:val="32"/>
          <w:szCs w:val="32"/>
        </w:rPr>
        <w:t>环保要求，并能按照</w:t>
      </w:r>
      <w:r>
        <w:rPr>
          <w:rFonts w:hint="eastAsia" w:ascii="仿宋_GB2312" w:hAnsi="宋体" w:eastAsia="仿宋_GB2312"/>
          <w:color w:val="auto"/>
          <w:sz w:val="32"/>
          <w:szCs w:val="32"/>
          <w:lang w:eastAsia="zh-CN"/>
        </w:rPr>
        <w:t>招标人</w:t>
      </w:r>
      <w:r>
        <w:rPr>
          <w:rFonts w:hint="eastAsia" w:ascii="仿宋_GB2312" w:hAnsi="宋体" w:eastAsia="仿宋_GB2312"/>
          <w:color w:val="auto"/>
          <w:sz w:val="32"/>
          <w:szCs w:val="32"/>
        </w:rPr>
        <w:t>环保绩效开展情况随时更</w:t>
      </w:r>
      <w:r>
        <w:rPr>
          <w:rFonts w:hint="eastAsia" w:ascii="仿宋_GB2312" w:hAnsi="宋体" w:eastAsia="仿宋_GB2312"/>
          <w:color w:val="auto"/>
          <w:sz w:val="32"/>
          <w:szCs w:val="32"/>
          <w:lang w:eastAsia="zh-CN"/>
        </w:rPr>
        <w:t>新</w:t>
      </w:r>
      <w:r>
        <w:rPr>
          <w:rFonts w:hint="eastAsia" w:ascii="仿宋_GB2312" w:hAnsi="宋体" w:eastAsia="仿宋_GB2312"/>
          <w:color w:val="auto"/>
          <w:sz w:val="32"/>
          <w:szCs w:val="32"/>
          <w:lang w:val="en-US" w:eastAsia="zh-CN"/>
        </w:rPr>
        <w:t>车辆</w:t>
      </w:r>
      <w:r>
        <w:rPr>
          <w:rFonts w:hint="eastAsia" w:ascii="仿宋_GB2312" w:hAnsi="宋体" w:eastAsia="仿宋_GB2312"/>
          <w:color w:val="auto"/>
          <w:sz w:val="32"/>
          <w:szCs w:val="32"/>
          <w:highlight w:val="none"/>
        </w:rPr>
        <w:t>。</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eastAsia="zh-CN"/>
        </w:rPr>
        <w:t>作业</w:t>
      </w:r>
      <w:r>
        <w:rPr>
          <w:rFonts w:hint="eastAsia" w:ascii="仿宋_GB2312" w:hAnsi="仿宋_GB2312" w:eastAsia="仿宋_GB2312" w:cs="仿宋_GB2312"/>
          <w:color w:val="auto"/>
          <w:sz w:val="32"/>
          <w:szCs w:val="32"/>
        </w:rPr>
        <w:t>过程中，</w:t>
      </w:r>
      <w:r>
        <w:rPr>
          <w:rFonts w:hint="eastAsia" w:ascii="仿宋_GB2312" w:hAnsi="仿宋_GB2312" w:eastAsia="仿宋_GB2312" w:cs="仿宋_GB2312"/>
          <w:color w:val="auto"/>
          <w:sz w:val="32"/>
          <w:szCs w:val="32"/>
          <w:lang w:eastAsia="zh-CN"/>
        </w:rPr>
        <w:t>要符合招标人的环保要求，</w:t>
      </w:r>
      <w:r>
        <w:rPr>
          <w:rFonts w:hint="eastAsia" w:ascii="仿宋_GB2312" w:hAnsi="仿宋_GB2312" w:eastAsia="仿宋_GB2312" w:cs="仿宋_GB2312"/>
          <w:color w:val="auto"/>
          <w:sz w:val="32"/>
          <w:szCs w:val="32"/>
        </w:rPr>
        <w:t>遵守</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rPr>
        <w:t>环境管理体系要求和国家有关环境保护法律法规，要满足国家及地方相关环保要求，杜绝各类影响环境的问题出现，不得造成二次污染</w:t>
      </w:r>
      <w:r>
        <w:rPr>
          <w:rFonts w:hint="eastAsia" w:ascii="仿宋_GB2312" w:hAnsi="仿宋_GB2312" w:eastAsia="仿宋_GB2312" w:cs="仿宋_GB2312"/>
          <w:color w:val="auto"/>
          <w:sz w:val="32"/>
          <w:szCs w:val="32"/>
          <w:lang w:eastAsia="zh-CN"/>
        </w:rPr>
        <w:t>。</w:t>
      </w:r>
    </w:p>
    <w:p w14:paraId="61E45E63">
      <w:pPr>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leftChars="0" w:right="0" w:firstLine="640" w:firstLineChars="200"/>
        <w:jc w:val="left"/>
        <w:textAlignment w:val="auto"/>
        <w:rPr>
          <w:rFonts w:ascii="仿宋_GB2312" w:hAnsi="宋体" w:eastAsia="仿宋_GB2312"/>
          <w:color w:val="auto"/>
          <w:kern w:val="0"/>
          <w:sz w:val="32"/>
          <w:szCs w:val="32"/>
        </w:rPr>
      </w:pPr>
      <w:r>
        <w:rPr>
          <w:rFonts w:hint="eastAsia" w:ascii="仿宋_GB2312" w:hAnsi="仿宋_GB2312" w:eastAsia="仿宋_GB2312" w:cs="仿宋_GB2312"/>
          <w:color w:val="auto"/>
          <w:sz w:val="32"/>
          <w:szCs w:val="32"/>
          <w:lang w:eastAsia="zh-CN"/>
        </w:rPr>
        <w:t>投标人</w:t>
      </w:r>
      <w:r>
        <w:rPr>
          <w:rFonts w:hint="eastAsia" w:ascii="仿宋_GB2312" w:hAnsi="宋体" w:eastAsia="仿宋_GB2312"/>
          <w:color w:val="auto"/>
          <w:sz w:val="32"/>
          <w:szCs w:val="32"/>
        </w:rPr>
        <w:t>自主配备足够的车辆、设备、设施及所属车辆、设备的操作人员，承担所属设备、设施的生产、运营和维修，保证具备长期、连续、稳定、安全的</w:t>
      </w:r>
      <w:r>
        <w:rPr>
          <w:rFonts w:hint="eastAsia" w:ascii="仿宋_GB2312" w:hAnsi="宋体" w:eastAsia="仿宋_GB2312"/>
          <w:color w:val="auto"/>
          <w:sz w:val="32"/>
          <w:szCs w:val="32"/>
          <w:lang w:eastAsia="zh-CN"/>
        </w:rPr>
        <w:t>服务</w:t>
      </w:r>
      <w:r>
        <w:rPr>
          <w:rFonts w:hint="eastAsia" w:ascii="仿宋_GB2312" w:hAnsi="宋体" w:eastAsia="仿宋_GB2312"/>
          <w:color w:val="auto"/>
          <w:sz w:val="32"/>
          <w:szCs w:val="32"/>
        </w:rPr>
        <w:t>保障能力</w:t>
      </w:r>
      <w:r>
        <w:rPr>
          <w:rFonts w:hint="eastAsia" w:ascii="仿宋_GB2312" w:hAnsi="宋体" w:eastAsia="仿宋_GB2312"/>
          <w:color w:val="auto"/>
          <w:sz w:val="32"/>
          <w:szCs w:val="32"/>
          <w:lang w:eastAsia="zh-CN"/>
        </w:rPr>
        <w:t>，</w:t>
      </w:r>
      <w:r>
        <w:rPr>
          <w:rFonts w:hint="eastAsia" w:ascii="仿宋_GB2312" w:hAnsi="仿宋_GB2312" w:eastAsia="仿宋_GB2312" w:cs="仿宋_GB2312"/>
          <w:color w:val="auto"/>
          <w:sz w:val="32"/>
          <w:szCs w:val="32"/>
        </w:rPr>
        <w:t>按照</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rPr>
        <w:t>要求</w:t>
      </w:r>
      <w:r>
        <w:rPr>
          <w:rFonts w:hint="eastAsia" w:ascii="仿宋_GB2312" w:hAnsi="仿宋_GB2312" w:eastAsia="仿宋_GB2312" w:cs="仿宋_GB2312"/>
          <w:color w:val="auto"/>
          <w:sz w:val="32"/>
          <w:szCs w:val="32"/>
          <w:lang w:eastAsia="zh-CN"/>
        </w:rPr>
        <w:t>按时完成作业任务</w:t>
      </w:r>
      <w:r>
        <w:rPr>
          <w:rFonts w:hint="eastAsia" w:ascii="仿宋_GB2312" w:hAnsi="仿宋_GB2312" w:eastAsia="仿宋_GB2312" w:cs="仿宋_GB2312"/>
          <w:color w:val="auto"/>
          <w:sz w:val="32"/>
          <w:szCs w:val="32"/>
        </w:rPr>
        <w:t>。</w:t>
      </w:r>
    </w:p>
    <w:p w14:paraId="60C7EA14">
      <w:pPr>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leftChars="0" w:right="0" w:firstLine="640" w:firstLineChars="200"/>
        <w:jc w:val="left"/>
        <w:textAlignment w:val="auto"/>
        <w:rPr>
          <w:rFonts w:hint="eastAsia" w:ascii="仿宋_GB2312" w:hAnsi="宋体" w:eastAsia="仿宋_GB2312" w:cs="宋体"/>
          <w:color w:val="auto"/>
          <w:kern w:val="0"/>
          <w:sz w:val="32"/>
          <w:szCs w:val="32"/>
          <w:lang w:val="en-US" w:eastAsia="zh-CN"/>
        </w:rPr>
      </w:pPr>
      <w:r>
        <w:rPr>
          <w:rFonts w:hint="eastAsia" w:ascii="仿宋_GB2312" w:hAnsi="仿宋_GB2312" w:eastAsia="仿宋_GB2312" w:cs="仿宋_GB2312"/>
          <w:color w:val="auto"/>
          <w:sz w:val="32"/>
          <w:szCs w:val="32"/>
          <w:lang w:eastAsia="zh-CN"/>
        </w:rPr>
        <w:t>招标人不承担因装载机械运输产生的</w:t>
      </w:r>
      <w:r>
        <w:rPr>
          <w:rFonts w:hint="eastAsia" w:ascii="仿宋_GB2312" w:hAnsi="仿宋_GB2312" w:eastAsia="仿宋_GB2312" w:cs="仿宋_GB2312"/>
          <w:color w:val="auto"/>
          <w:sz w:val="32"/>
          <w:szCs w:val="32"/>
          <w:lang w:val="en-US" w:eastAsia="zh-CN"/>
        </w:rPr>
        <w:t>任何</w:t>
      </w:r>
      <w:r>
        <w:rPr>
          <w:rFonts w:hint="eastAsia" w:ascii="仿宋_GB2312" w:hAnsi="仿宋_GB2312" w:eastAsia="仿宋_GB2312" w:cs="仿宋_GB2312"/>
          <w:color w:val="auto"/>
          <w:sz w:val="32"/>
          <w:szCs w:val="32"/>
          <w:lang w:eastAsia="zh-CN"/>
        </w:rPr>
        <w:t>费用。</w:t>
      </w:r>
    </w:p>
    <w:p w14:paraId="2AAFC43B">
      <w:pPr>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leftChars="0" w:right="0" w:firstLine="640" w:firstLineChars="200"/>
        <w:jc w:val="left"/>
        <w:textAlignment w:val="auto"/>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olor w:val="auto"/>
          <w:sz w:val="32"/>
          <w:szCs w:val="32"/>
          <w:lang w:val="en-US" w:eastAsia="zh-CN"/>
        </w:rPr>
        <w:t>若招标人暂时没有作业需求，投标人可以自行安排车辆。招标人一旦有作业需求时，投标人必须第一时间保证运输车辆满足招标人的作业要求，不得拖延或延误招标人作业任务，如因投标人车辆提供不及时，招标人视情况予以相应的考核。若投标人全年没有业务量或业务量较少，招标人不承担任何责任</w:t>
      </w:r>
      <w:r>
        <w:rPr>
          <w:rFonts w:hint="eastAsia" w:ascii="仿宋_GB2312" w:hAnsi="宋体" w:eastAsia="仿宋_GB2312" w:cs="宋体"/>
          <w:color w:val="auto"/>
          <w:kern w:val="0"/>
          <w:sz w:val="32"/>
          <w:szCs w:val="32"/>
          <w:lang w:val="en-US" w:eastAsia="zh-CN"/>
        </w:rPr>
        <w:t>。</w:t>
      </w:r>
    </w:p>
    <w:p w14:paraId="741221B0">
      <w:pPr>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leftChars="0" w:right="0" w:firstLine="640" w:firstLineChars="200"/>
        <w:jc w:val="both"/>
        <w:textAlignment w:val="auto"/>
        <w:rPr>
          <w:rFonts w:hint="eastAsia" w:ascii="仿宋_GB2312" w:hAnsi="宋体" w:eastAsia="仿宋_GB2312" w:cs="宋体"/>
          <w:color w:val="auto"/>
          <w:kern w:val="0"/>
          <w:sz w:val="32"/>
          <w:szCs w:val="32"/>
          <w:highlight w:val="none"/>
          <w:lang w:val="en-US" w:eastAsia="zh-CN"/>
        </w:rPr>
      </w:pP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须按照</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rPr>
        <w:t>的要求在</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rPr>
        <w:t>指定区域作业，不得影响</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rPr>
        <w:t>正常生产节奏。</w:t>
      </w:r>
    </w:p>
    <w:p w14:paraId="6E27BBF4">
      <w:pPr>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leftChars="0" w:right="0" w:firstLine="640" w:firstLineChars="200"/>
        <w:jc w:val="both"/>
        <w:textAlignment w:val="auto"/>
        <w:rPr>
          <w:rFonts w:ascii="仿宋_GB2312" w:hAnsi="宋体" w:eastAsia="仿宋_GB2312"/>
          <w:color w:val="auto"/>
          <w:kern w:val="0"/>
          <w:sz w:val="32"/>
          <w:szCs w:val="32"/>
          <w:highlight w:val="none"/>
        </w:rPr>
      </w:pPr>
      <w:r>
        <w:rPr>
          <w:rFonts w:hint="eastAsia" w:ascii="仿宋_GB2312" w:hAnsi="宋体" w:eastAsia="仿宋_GB2312" w:cs="宋体"/>
          <w:color w:val="auto"/>
          <w:kern w:val="0"/>
          <w:sz w:val="32"/>
          <w:szCs w:val="32"/>
          <w:highlight w:val="none"/>
        </w:rPr>
        <w:t>中标方必须遵守国家、省市各级相关法律法规，按照公司</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相关方安全生产监督管理办法</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SGGFZ-16-B02</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要求进入现场作业，如有违反，按照相应的标准进行考核。</w:t>
      </w:r>
    </w:p>
    <w:p w14:paraId="3AAB00CC">
      <w:pPr>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leftChars="0" w:right="0"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本业务禁止外包。</w:t>
      </w:r>
    </w:p>
    <w:p w14:paraId="32A64703">
      <w:pPr>
        <w:keepNext w:val="0"/>
        <w:keepLines w:val="0"/>
        <w:pageBreakBefore w:val="0"/>
        <w:widowControl w:val="0"/>
        <w:numPr>
          <w:ilvl w:val="0"/>
          <w:numId w:val="2"/>
        </w:numPr>
        <w:kinsoku/>
        <w:wordWrap/>
        <w:overflowPunct/>
        <w:topLinePunct w:val="0"/>
        <w:autoSpaceDE/>
        <w:autoSpaceDN/>
        <w:bidi w:val="0"/>
        <w:adjustRightInd/>
        <w:snapToGrid/>
        <w:spacing w:line="560" w:lineRule="atLeast"/>
        <w:ind w:left="0" w:leftChars="0" w:right="0"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olor w:val="auto"/>
          <w:sz w:val="32"/>
          <w:szCs w:val="32"/>
          <w:lang w:val="en-US" w:eastAsia="zh-CN"/>
        </w:rPr>
        <w:t>对明显低于其他通过符合性审查的投标人报价，有可能不能诚信履约的，投标人须在评标现场合理的时间内提供书面说明，必要时提交相关证明材料，投标人不能证明其报价合理性的，评标委员会将其作为无效投标处理。</w:t>
      </w:r>
    </w:p>
    <w:p w14:paraId="5C07F7B6">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atLeas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十）</w:t>
      </w:r>
      <w:r>
        <w:rPr>
          <w:rFonts w:hint="eastAsia" w:ascii="仿宋_GB2312" w:hAnsi="仿宋_GB2312" w:eastAsia="仿宋_GB2312" w:cs="仿宋_GB2312"/>
          <w:color w:val="auto"/>
          <w:sz w:val="32"/>
          <w:szCs w:val="32"/>
          <w:lang w:eastAsia="zh-CN"/>
        </w:rPr>
        <w:t>考核：</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投标人中标后</w:t>
      </w:r>
      <w:r>
        <w:rPr>
          <w:rFonts w:hint="eastAsia" w:ascii="仿宋_GB2312" w:hAnsi="仿宋_GB2312" w:eastAsia="仿宋_GB2312" w:cs="仿宋_GB2312"/>
          <w:color w:val="auto"/>
          <w:sz w:val="32"/>
          <w:szCs w:val="32"/>
        </w:rPr>
        <w:t>必须按照</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rPr>
        <w:t>要求</w:t>
      </w:r>
      <w:r>
        <w:rPr>
          <w:rFonts w:hint="eastAsia" w:ascii="仿宋_GB2312" w:hAnsi="仿宋_GB2312" w:eastAsia="仿宋_GB2312" w:cs="仿宋_GB2312"/>
          <w:color w:val="auto"/>
          <w:sz w:val="32"/>
          <w:szCs w:val="32"/>
          <w:lang w:eastAsia="zh-CN"/>
        </w:rPr>
        <w:t>签订</w:t>
      </w:r>
      <w:r>
        <w:rPr>
          <w:rFonts w:hint="eastAsia" w:ascii="仿宋_GB2312" w:hAnsi="仿宋_GB2312" w:eastAsia="仿宋_GB2312" w:cs="仿宋_GB2312"/>
          <w:color w:val="auto"/>
          <w:sz w:val="32"/>
          <w:szCs w:val="32"/>
        </w:rPr>
        <w:t>承包</w:t>
      </w:r>
      <w:r>
        <w:rPr>
          <w:rFonts w:hint="eastAsia" w:ascii="仿宋_GB2312" w:hAnsi="仿宋_GB2312" w:eastAsia="仿宋_GB2312" w:cs="仿宋_GB2312"/>
          <w:color w:val="auto"/>
          <w:sz w:val="32"/>
          <w:szCs w:val="32"/>
          <w:lang w:eastAsia="zh-CN"/>
        </w:rPr>
        <w:t>协议</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严格按照承包协议条款进行承包作业。如中标后弃标或不签订中标承包协议，将列入招标方黑名单并扣除投标保证金。</w:t>
      </w:r>
      <w:r>
        <w:rPr>
          <w:rFonts w:hint="eastAsia" w:ascii="仿宋_GB2312" w:hAnsi="仿宋_GB2312" w:eastAsia="仿宋_GB2312" w:cs="仿宋_GB2312"/>
          <w:color w:val="auto"/>
          <w:sz w:val="32"/>
          <w:szCs w:val="32"/>
          <w:lang w:val="en-US" w:eastAsia="zh-CN"/>
        </w:rPr>
        <w:t>2.如因中标人机械故障、运输能力准备不足等原因导致招标人正常生产受到</w:t>
      </w:r>
      <w:r>
        <w:rPr>
          <w:rFonts w:hint="eastAsia" w:ascii="仿宋_GB2312" w:hAnsi="仿宋_GB2312" w:eastAsia="仿宋_GB2312" w:cs="仿宋_GB2312"/>
          <w:color w:val="auto"/>
          <w:sz w:val="32"/>
          <w:szCs w:val="32"/>
        </w:rPr>
        <w:t>影响</w:t>
      </w:r>
      <w:r>
        <w:rPr>
          <w:rFonts w:hint="eastAsia" w:ascii="仿宋_GB2312" w:hAnsi="仿宋_GB2312" w:eastAsia="仿宋_GB2312" w:cs="仿宋_GB2312"/>
          <w:color w:val="auto"/>
          <w:sz w:val="32"/>
          <w:szCs w:val="32"/>
          <w:lang w:eastAsia="zh-CN"/>
        </w:rPr>
        <w:t>、污染现场环境、损坏设备及造成其他财产损失等情况，视情况按每次</w:t>
      </w:r>
      <w:r>
        <w:rPr>
          <w:rFonts w:hint="eastAsia" w:ascii="仿宋_GB2312" w:hAnsi="仿宋_GB2312" w:eastAsia="仿宋_GB2312" w:cs="仿宋_GB2312"/>
          <w:color w:val="auto"/>
          <w:sz w:val="32"/>
          <w:szCs w:val="32"/>
          <w:lang w:val="en-US" w:eastAsia="zh-CN"/>
        </w:rPr>
        <w:t>200-1000元考核，</w:t>
      </w:r>
      <w:r>
        <w:rPr>
          <w:rFonts w:hint="eastAsia" w:ascii="仿宋_GB2312" w:hAnsi="仿宋_GB2312" w:eastAsia="仿宋_GB2312" w:cs="仿宋_GB2312"/>
          <w:color w:val="auto"/>
          <w:sz w:val="32"/>
          <w:szCs w:val="32"/>
          <w:lang w:eastAsia="zh-CN"/>
        </w:rPr>
        <w:t>并赔偿给招标人造成的全部损失</w:t>
      </w:r>
      <w:r>
        <w:rPr>
          <w:rFonts w:hint="eastAsia" w:ascii="仿宋_GB2312" w:hAnsi="仿宋_GB2312" w:eastAsia="仿宋_GB2312" w:cs="仿宋_GB2312"/>
          <w:color w:val="auto"/>
          <w:sz w:val="32"/>
          <w:szCs w:val="32"/>
        </w:rPr>
        <w:t>；若影响严重，加倍扣减。</w:t>
      </w:r>
      <w:r>
        <w:rPr>
          <w:rFonts w:hint="eastAsia" w:ascii="仿宋_GB2312" w:hAnsi="仿宋_GB2312" w:eastAsia="仿宋_GB2312" w:cs="仿宋_GB2312"/>
          <w:color w:val="auto"/>
          <w:kern w:val="2"/>
          <w:sz w:val="32"/>
          <w:szCs w:val="32"/>
          <w:lang w:val="en-US" w:eastAsia="zh-CN"/>
        </w:rPr>
        <w:t>3.合同期内，因中标人原因导致无法正常履约或合同被迫终止，招标人有权根据影响情况对已发生费用进行相应扣除。</w:t>
      </w:r>
    </w:p>
    <w:p w14:paraId="5FA2490C">
      <w:pPr>
        <w:keepNext w:val="0"/>
        <w:keepLines w:val="0"/>
        <w:pageBreakBefore w:val="0"/>
        <w:widowControl/>
        <w:numPr>
          <w:ilvl w:val="0"/>
          <w:numId w:val="3"/>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rPr>
        <w:t>投标人资格要求</w:t>
      </w:r>
    </w:p>
    <w:p w14:paraId="4AC3864D">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rPr>
        <w:t>本次招标资格审查采取网上报名，网上审核方式，投标人在山东钢铁集团有限公司范围内出现中标后弃标、不履约合同或被列入不合格供应商、淘汰供应商名单（淘汰时间范围内），一票否决；投标人不符合以下条件的，资格审查将被否决（已注明否决项），不再进入下一阶段的评标。</w:t>
      </w:r>
    </w:p>
    <w:p w14:paraId="175FDC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本项目投标单位具备以下条件：</w:t>
      </w:r>
    </w:p>
    <w:p w14:paraId="2259C758">
      <w:pPr>
        <w:keepNext w:val="0"/>
        <w:keepLines w:val="0"/>
        <w:pageBreakBefore w:val="0"/>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left="0" w:leftChars="0" w:right="0" w:firstLine="420" w:firstLineChars="0"/>
        <w:jc w:val="both"/>
        <w:textAlignment w:val="auto"/>
        <w:rPr>
          <w:rFonts w:hint="eastAsia" w:ascii="仿宋_GB2312" w:hAnsi="仿宋_GB2312" w:eastAsia="仿宋_GB2312" w:cs="仿宋_GB2312"/>
          <w:color w:val="auto"/>
          <w:sz w:val="32"/>
          <w:szCs w:val="32"/>
          <w:lang w:eastAsia="zh-CN"/>
        </w:rPr>
      </w:pPr>
      <w:bookmarkStart w:id="2" w:name="_GoBack"/>
      <w:r>
        <w:rPr>
          <w:rFonts w:hint="eastAsia" w:ascii="仿宋_GB2312" w:hAnsi="仿宋_GB2312" w:eastAsia="仿宋_GB2312" w:cs="仿宋_GB2312"/>
          <w:color w:val="auto"/>
          <w:sz w:val="32"/>
          <w:szCs w:val="32"/>
          <w:lang w:eastAsia="zh-CN"/>
        </w:rPr>
        <w:t>符合国家规定行业标准，具有独立企业法人资格，依法取得行业许可证、工商登记许可证</w:t>
      </w:r>
      <w:r>
        <w:rPr>
          <w:rFonts w:hint="eastAsia" w:ascii="仿宋_GB2312" w:hAnsi="仿宋_GB2312" w:eastAsia="仿宋_GB2312" w:cs="仿宋_GB2312"/>
          <w:color w:val="auto"/>
          <w:sz w:val="32"/>
          <w:szCs w:val="32"/>
          <w:lang w:val="en-US" w:eastAsia="zh-CN"/>
        </w:rPr>
        <w:t>、道路运输经营许可证</w:t>
      </w:r>
      <w:r>
        <w:rPr>
          <w:rFonts w:hint="eastAsia" w:ascii="仿宋_GB2312" w:hAnsi="仿宋_GB2312" w:eastAsia="仿宋_GB2312" w:cs="仿宋_GB2312"/>
          <w:color w:val="auto"/>
          <w:sz w:val="32"/>
          <w:szCs w:val="32"/>
          <w:lang w:eastAsia="zh-CN"/>
        </w:rPr>
        <w:t>，具备</w:t>
      </w:r>
      <w:r>
        <w:rPr>
          <w:rFonts w:hint="eastAsia" w:ascii="仿宋_GB2312" w:hAnsi="仿宋_GB2312" w:eastAsia="仿宋_GB2312" w:cs="仿宋_GB2312"/>
          <w:color w:val="auto"/>
          <w:sz w:val="32"/>
          <w:szCs w:val="32"/>
          <w:lang w:val="en-US" w:eastAsia="zh-CN"/>
        </w:rPr>
        <w:t>货物运输、装卸搬运</w:t>
      </w:r>
      <w:r>
        <w:rPr>
          <w:rFonts w:hint="eastAsia" w:ascii="仿宋_GB2312" w:hAnsi="仿宋_GB2312" w:eastAsia="仿宋_GB2312" w:cs="仿宋_GB2312"/>
          <w:color w:val="auto"/>
          <w:sz w:val="32"/>
          <w:szCs w:val="32"/>
          <w:lang w:eastAsia="zh-CN"/>
        </w:rPr>
        <w:t>等相关资质。</w:t>
      </w:r>
    </w:p>
    <w:p w14:paraId="039CCD01">
      <w:pPr>
        <w:keepNext w:val="0"/>
        <w:keepLines w:val="0"/>
        <w:pageBreakBefore w:val="0"/>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left="0" w:leftChars="0" w:right="0" w:firstLine="420" w:firstLineChars="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具有一定资金基础，注册资金在</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00</w:t>
      </w:r>
      <w:r>
        <w:rPr>
          <w:rFonts w:hint="eastAsia" w:ascii="仿宋_GB2312" w:hAnsi="仿宋_GB2312" w:eastAsia="仿宋_GB2312" w:cs="仿宋_GB2312"/>
          <w:color w:val="auto"/>
          <w:sz w:val="32"/>
          <w:szCs w:val="32"/>
          <w:lang w:eastAsia="zh-CN"/>
        </w:rPr>
        <w:t>万元以上。</w:t>
      </w:r>
      <w:r>
        <w:rPr>
          <w:rFonts w:hint="eastAsia" w:ascii="仿宋_GB2312" w:hAnsi="Times New Roman" w:eastAsia="仿宋_GB2312"/>
          <w:color w:val="auto"/>
          <w:sz w:val="32"/>
          <w:szCs w:val="32"/>
        </w:rPr>
        <w:t>不接受法定代表人为同一人，或者存在控股、管理关系的不同单位同时参与投标；不接受联合体投标；不接受第三方代理投标</w:t>
      </w:r>
      <w:r>
        <w:rPr>
          <w:rFonts w:hint="eastAsia" w:ascii="仿宋_GB2312" w:hAnsi="宋体" w:eastAsia="仿宋_GB2312"/>
          <w:color w:val="auto"/>
          <w:sz w:val="32"/>
          <w:szCs w:val="32"/>
        </w:rPr>
        <w:t>。</w:t>
      </w:r>
    </w:p>
    <w:p w14:paraId="10AC73DE">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0" w:firstLine="42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具有良好的商业信誉</w:t>
      </w:r>
      <w:r>
        <w:rPr>
          <w:rFonts w:hint="eastAsia" w:ascii="仿宋_GB2312" w:hAnsi="仿宋_GB2312" w:eastAsia="仿宋_GB2312" w:cs="仿宋_GB2312"/>
          <w:color w:val="auto"/>
          <w:sz w:val="32"/>
          <w:szCs w:val="32"/>
          <w:lang w:val="en-US" w:eastAsia="zh-CN"/>
        </w:rPr>
        <w:t>与经营行为</w:t>
      </w:r>
      <w:r>
        <w:rPr>
          <w:rFonts w:hint="eastAsia" w:ascii="仿宋_GB2312" w:hAnsi="仿宋_GB2312" w:eastAsia="仿宋_GB2312" w:cs="仿宋_GB2312"/>
          <w:color w:val="auto"/>
          <w:sz w:val="32"/>
          <w:szCs w:val="32"/>
          <w:shd w:val="clear" w:color="auto" w:fill="FFFFFF"/>
        </w:rPr>
        <w:t>。</w:t>
      </w:r>
    </w:p>
    <w:p w14:paraId="2057614C">
      <w:pPr>
        <w:keepNext w:val="0"/>
        <w:keepLines w:val="0"/>
        <w:pageBreakBefore w:val="0"/>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leftChars="0" w:right="0" w:rightChars="0" w:firstLine="420" w:firstLineChars="0"/>
        <w:jc w:val="both"/>
        <w:textAlignment w:val="auto"/>
        <w:rPr>
          <w:rFonts w:hint="default" w:ascii="仿宋_GB2312" w:hAnsi="仿宋_GB2312" w:eastAsia="仿宋_GB2312" w:cs="仿宋_GB2312"/>
          <w:color w:val="auto"/>
          <w:kern w:val="2"/>
          <w:sz w:val="32"/>
          <w:szCs w:val="32"/>
          <w:lang w:val="en-US" w:eastAsia="zh-CN"/>
        </w:rPr>
      </w:pPr>
      <w:r>
        <w:rPr>
          <w:rFonts w:hint="eastAsia" w:ascii="仿宋_GB2312" w:hAnsi="宋体" w:eastAsia="仿宋_GB2312"/>
          <w:color w:val="auto"/>
          <w:sz w:val="32"/>
          <w:szCs w:val="32"/>
          <w:lang w:val="en-US" w:eastAsia="zh-CN"/>
        </w:rPr>
        <w:t>上传资格审查文件，内容包括但不限于：营业执照、</w:t>
      </w:r>
      <w:r>
        <w:rPr>
          <w:rFonts w:hint="eastAsia" w:ascii="仿宋_GB2312" w:hAnsi="仿宋_GB2312" w:eastAsia="仿宋_GB2312" w:cs="仿宋_GB2312"/>
          <w:color w:val="auto"/>
          <w:kern w:val="0"/>
          <w:sz w:val="32"/>
          <w:szCs w:val="32"/>
          <w:shd w:val="clear" w:color="auto" w:fill="FFFFFF"/>
          <w:lang w:bidi="ar"/>
        </w:rPr>
        <w:t>道路运输经营许可证</w:t>
      </w:r>
      <w:r>
        <w:rPr>
          <w:rFonts w:hint="eastAsia" w:ascii="仿宋_GB2312" w:hAnsi="仿宋_GB2312" w:eastAsia="仿宋_GB2312" w:cs="仿宋_GB2312"/>
          <w:color w:val="auto"/>
          <w:kern w:val="0"/>
          <w:sz w:val="32"/>
          <w:szCs w:val="32"/>
          <w:shd w:val="clear" w:color="auto" w:fill="FFFFFF"/>
          <w:lang w:eastAsia="zh-CN" w:bidi="ar"/>
        </w:rPr>
        <w:t>，</w:t>
      </w:r>
      <w:r>
        <w:rPr>
          <w:rFonts w:hint="eastAsia" w:ascii="仿宋_GB2312" w:hAnsi="宋体" w:eastAsia="仿宋_GB2312"/>
          <w:color w:val="auto"/>
          <w:sz w:val="32"/>
          <w:szCs w:val="32"/>
          <w:lang w:val="en-US" w:eastAsia="zh-CN"/>
        </w:rPr>
        <w:t>相关类似业务的合同及结算发票、良好企业信誉证明（企查查等官网查询截图）、投标保证金缴纳凭证等内容。</w:t>
      </w:r>
    </w:p>
    <w:bookmarkEnd w:id="2"/>
    <w:p w14:paraId="573C5858">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ascii="黑体" w:hAnsi="黑体" w:eastAsia="黑体" w:cs="宋体"/>
          <w:sz w:val="32"/>
          <w:szCs w:val="32"/>
        </w:rPr>
      </w:pPr>
      <w:r>
        <w:rPr>
          <w:rFonts w:hint="eastAsia" w:ascii="黑体" w:hAnsi="黑体" w:eastAsia="黑体" w:cs="宋体"/>
          <w:sz w:val="32"/>
          <w:szCs w:val="32"/>
          <w:lang w:val="en-US" w:eastAsia="zh-CN"/>
        </w:rPr>
        <w:t>五</w:t>
      </w:r>
      <w:r>
        <w:rPr>
          <w:rFonts w:hint="eastAsia" w:ascii="黑体" w:hAnsi="黑体" w:eastAsia="黑体" w:cs="宋体"/>
          <w:sz w:val="32"/>
          <w:szCs w:val="32"/>
        </w:rPr>
        <w:t>、报名截止时间</w:t>
      </w:r>
    </w:p>
    <w:p w14:paraId="5392EED4">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公告开始日期：</w:t>
      </w:r>
      <w:r>
        <w:rPr>
          <w:rFonts w:hint="eastAsia" w:ascii="仿宋_GB2312" w:hAnsi="Times New Roman" w:eastAsia="仿宋_GB2312" w:cs="Times New Roman"/>
          <w:color w:val="auto"/>
          <w:sz w:val="32"/>
          <w:szCs w:val="32"/>
          <w:lang w:val="en-US" w:eastAsia="zh-CN"/>
        </w:rPr>
        <w:t>2025年12月10日</w:t>
      </w:r>
      <w:r>
        <w:rPr>
          <w:rFonts w:hint="eastAsia" w:ascii="仿宋_GB2312" w:eastAsia="仿宋_GB2312"/>
          <w:color w:val="auto"/>
          <w:sz w:val="32"/>
          <w:szCs w:val="32"/>
          <w:lang w:eastAsia="zh-CN"/>
        </w:rPr>
        <w:t>。</w:t>
      </w:r>
    </w:p>
    <w:p w14:paraId="4C04FD77">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rPr>
        <w:t>公告结束日期：</w:t>
      </w:r>
      <w:r>
        <w:rPr>
          <w:rFonts w:hint="eastAsia" w:ascii="仿宋_GB2312" w:hAnsi="Times New Roman" w:eastAsia="仿宋_GB2312" w:cs="Times New Roman"/>
          <w:color w:val="auto"/>
          <w:sz w:val="32"/>
          <w:szCs w:val="32"/>
          <w:lang w:val="en-US" w:eastAsia="zh-CN"/>
        </w:rPr>
        <w:t>2025年12月12日</w:t>
      </w:r>
      <w:r>
        <w:rPr>
          <w:rFonts w:hint="eastAsia" w:ascii="仿宋_GB2312" w:eastAsia="仿宋_GB2312"/>
          <w:color w:val="auto"/>
          <w:sz w:val="32"/>
          <w:szCs w:val="32"/>
        </w:rPr>
        <w:t>。</w:t>
      </w:r>
    </w:p>
    <w:p w14:paraId="3B2B5958">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资格</w:t>
      </w:r>
      <w:r>
        <w:rPr>
          <w:rFonts w:hint="eastAsia" w:ascii="仿宋_GB2312" w:hAnsi="Times New Roman" w:eastAsia="仿宋_GB2312" w:cs="Times New Roman"/>
          <w:color w:val="auto"/>
          <w:sz w:val="32"/>
          <w:szCs w:val="32"/>
          <w:lang w:val="en-US" w:eastAsia="zh-CN"/>
        </w:rPr>
        <w:t>审查</w:t>
      </w:r>
      <w:r>
        <w:rPr>
          <w:rFonts w:hint="eastAsia" w:ascii="仿宋_GB2312" w:hAnsi="Times New Roman" w:eastAsia="仿宋_GB2312" w:cs="Times New Roman"/>
          <w:color w:val="auto"/>
          <w:sz w:val="32"/>
          <w:szCs w:val="32"/>
        </w:rPr>
        <w:t>地点：山东钢铁股份有限公司招标中心。</w:t>
      </w:r>
    </w:p>
    <w:p w14:paraId="70527125">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六</w:t>
      </w:r>
      <w:r>
        <w:rPr>
          <w:rFonts w:hint="eastAsia" w:ascii="黑体" w:hAnsi="黑体" w:eastAsia="黑体" w:cs="宋体"/>
          <w:color w:val="auto"/>
          <w:kern w:val="0"/>
          <w:sz w:val="32"/>
          <w:szCs w:val="32"/>
        </w:rPr>
        <w:t>、开标地点</w:t>
      </w:r>
    </w:p>
    <w:p w14:paraId="4B316D17">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山东钢铁股份有限公司招标中心（济南市钢城区友谊路26号）。</w:t>
      </w:r>
    </w:p>
    <w:p w14:paraId="1CB89CBB">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七</w:t>
      </w:r>
      <w:r>
        <w:rPr>
          <w:rFonts w:hint="eastAsia" w:ascii="黑体" w:hAnsi="黑体" w:eastAsia="黑体" w:cs="宋体"/>
          <w:color w:val="auto"/>
          <w:kern w:val="0"/>
          <w:sz w:val="32"/>
          <w:szCs w:val="32"/>
        </w:rPr>
        <w:t>、投标截止及开标时间</w:t>
      </w:r>
    </w:p>
    <w:p w14:paraId="20B61FB2">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具体</w:t>
      </w:r>
      <w:r>
        <w:rPr>
          <w:rFonts w:hint="eastAsia" w:ascii="仿宋_GB2312" w:hAnsi="Times New Roman" w:eastAsia="仿宋_GB2312" w:cs="Times New Roman"/>
          <w:color w:val="auto"/>
          <w:sz w:val="32"/>
          <w:szCs w:val="32"/>
        </w:rPr>
        <w:t>以系统公告时间为准，逾期视为放弃投标。</w:t>
      </w:r>
    </w:p>
    <w:p w14:paraId="6F164286">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八</w:t>
      </w:r>
      <w:r>
        <w:rPr>
          <w:rFonts w:hint="eastAsia" w:ascii="黑体" w:hAnsi="黑体" w:eastAsia="黑体" w:cs="宋体"/>
          <w:color w:val="auto"/>
          <w:kern w:val="0"/>
          <w:sz w:val="32"/>
          <w:szCs w:val="32"/>
        </w:rPr>
        <w:t>、投标报名及招标文件的获取方式</w:t>
      </w:r>
    </w:p>
    <w:p w14:paraId="6C02EF0D">
      <w:pPr>
        <w:keepNext w:val="0"/>
        <w:keepLines w:val="0"/>
        <w:pageBreakBefore w:val="0"/>
        <w:kinsoku/>
        <w:wordWrap/>
        <w:overflowPunct/>
        <w:topLinePunct w:val="0"/>
        <w:autoSpaceDE/>
        <w:autoSpaceDN/>
        <w:bidi w:val="0"/>
        <w:spacing w:line="560" w:lineRule="exact"/>
        <w:ind w:firstLine="640" w:firstLineChars="200"/>
        <w:jc w:val="left"/>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本次招标采用网上报名方式。凡有意参加的潜在投标人，在公告期内登陆：bams.shansteelgroup.com，注册用户成功后，须修改初始密码，重新登录后报名。</w:t>
      </w:r>
    </w:p>
    <w:p w14:paraId="73E2A111">
      <w:pPr>
        <w:keepNext w:val="0"/>
        <w:keepLines w:val="0"/>
        <w:pageBreakBefore w:val="0"/>
        <w:numPr>
          <w:ilvl w:val="0"/>
          <w:numId w:val="5"/>
        </w:numPr>
        <w:kinsoku/>
        <w:wordWrap/>
        <w:overflowPunct/>
        <w:topLinePunct w:val="0"/>
        <w:bidi w:val="0"/>
        <w:snapToGrid w:val="0"/>
        <w:spacing w:line="560" w:lineRule="exact"/>
        <w:ind w:leftChars="0" w:firstLine="640" w:firstLineChars="200"/>
        <w:jc w:val="both"/>
        <w:rPr>
          <w:rFonts w:hint="eastAsia" w:ascii="仿宋_GB2312" w:hAnsi="宋体" w:eastAsia="仿宋_GB2312"/>
          <w:sz w:val="32"/>
          <w:szCs w:val="32"/>
          <w:highlight w:val="none"/>
        </w:rPr>
      </w:pPr>
      <w:r>
        <w:rPr>
          <w:rFonts w:hint="eastAsia" w:ascii="黑体" w:hAnsi="黑体" w:eastAsia="黑体" w:cs="宋体"/>
          <w:color w:val="auto"/>
          <w:kern w:val="0"/>
          <w:sz w:val="32"/>
          <w:szCs w:val="32"/>
          <w:lang w:val="en-US" w:eastAsia="zh-CN"/>
        </w:rPr>
        <w:t>保证金收取</w:t>
      </w:r>
    </w:p>
    <w:p w14:paraId="786253C7">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因本项目与招标人生产经营关联度比较高，</w:t>
      </w:r>
      <w:r>
        <w:rPr>
          <w:rFonts w:hint="eastAsia" w:ascii="仿宋_GB2312" w:hAnsi="宋体" w:eastAsia="仿宋_GB2312"/>
          <w:color w:val="auto"/>
          <w:sz w:val="32"/>
          <w:szCs w:val="32"/>
          <w:highlight w:val="none"/>
          <w:lang w:val="en-US" w:eastAsia="zh-CN"/>
        </w:rPr>
        <w:t>投</w:t>
      </w:r>
      <w:r>
        <w:rPr>
          <w:rFonts w:hint="eastAsia" w:ascii="仿宋_GB2312" w:hAnsi="宋体" w:eastAsia="仿宋_GB2312"/>
          <w:color w:val="auto"/>
          <w:sz w:val="32"/>
          <w:szCs w:val="32"/>
          <w:highlight w:val="none"/>
        </w:rPr>
        <w:t>标单位需缴纳</w:t>
      </w:r>
      <w:r>
        <w:rPr>
          <w:rFonts w:hint="eastAsia" w:ascii="仿宋_GB2312" w:hAnsi="宋体" w:eastAsia="仿宋_GB2312"/>
          <w:color w:val="auto"/>
          <w:sz w:val="32"/>
          <w:szCs w:val="32"/>
          <w:highlight w:val="none"/>
          <w:lang w:val="en-US" w:eastAsia="zh-CN"/>
        </w:rPr>
        <w:t>投标</w:t>
      </w:r>
      <w:r>
        <w:rPr>
          <w:rFonts w:hint="eastAsia" w:ascii="仿宋_GB2312" w:hAnsi="宋体" w:eastAsia="仿宋_GB2312"/>
          <w:color w:val="auto"/>
          <w:sz w:val="32"/>
          <w:szCs w:val="32"/>
          <w:highlight w:val="none"/>
        </w:rPr>
        <w:t>保证金</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8万</w:t>
      </w:r>
      <w:r>
        <w:rPr>
          <w:rFonts w:hint="eastAsia" w:ascii="仿宋_GB2312" w:hAnsi="宋体" w:eastAsia="仿宋_GB2312"/>
          <w:color w:val="auto"/>
          <w:sz w:val="32"/>
          <w:szCs w:val="32"/>
          <w:highlight w:val="none"/>
          <w:lang w:eastAsia="zh-CN"/>
        </w:rPr>
        <w:t>），</w:t>
      </w:r>
      <w:r>
        <w:rPr>
          <w:rFonts w:hint="eastAsia" w:ascii="仿宋_GB2312" w:hAnsi="宋体" w:eastAsia="仿宋_GB2312" w:cs="Times New Roman"/>
          <w:color w:val="auto"/>
          <w:sz w:val="32"/>
          <w:szCs w:val="32"/>
          <w:highlight w:val="none"/>
        </w:rPr>
        <w:t>银行回执单扫描发至邮箱：lgzhaobiao@163.com或传真至0531-76923170</w:t>
      </w:r>
      <w:r>
        <w:rPr>
          <w:rFonts w:hint="eastAsia" w:ascii="仿宋_GB2312" w:hAnsi="宋体" w:eastAsia="仿宋_GB2312" w:cs="Times New Roman"/>
          <w:color w:val="auto"/>
          <w:sz w:val="32"/>
          <w:szCs w:val="32"/>
          <w:highlight w:val="none"/>
          <w:lang w:val="en-US" w:eastAsia="zh-CN"/>
        </w:rPr>
        <w:t>并将回执单上传至资格审查材料</w:t>
      </w:r>
      <w:r>
        <w:rPr>
          <w:rFonts w:hint="eastAsia" w:ascii="仿宋_GB2312" w:hAnsi="宋体" w:eastAsia="仿宋_GB2312"/>
          <w:color w:val="auto"/>
          <w:sz w:val="32"/>
          <w:szCs w:val="32"/>
          <w:highlight w:val="none"/>
        </w:rPr>
        <w:t>。如因中标人原因不能履行合同义务或不签订合同的，保证金不予退还。</w:t>
      </w:r>
    </w:p>
    <w:p w14:paraId="1B81ABEB">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山东钢铁股份有限公司的招标保证金收款账户</w:t>
      </w:r>
    </w:p>
    <w:p w14:paraId="46FDB370">
      <w:pPr>
        <w:spacing w:line="560" w:lineRule="exact"/>
        <w:ind w:firstLine="1600" w:firstLineChars="500"/>
        <w:rPr>
          <w:rFonts w:ascii="仿宋" w:hAnsi="仿宋" w:eastAsia="仿宋" w:cs="仿宋"/>
          <w:color w:val="auto"/>
          <w:sz w:val="32"/>
          <w:szCs w:val="32"/>
        </w:rPr>
      </w:pPr>
      <w:r>
        <w:rPr>
          <w:rFonts w:hint="eastAsia" w:ascii="仿宋" w:hAnsi="仿宋" w:eastAsia="仿宋" w:cs="仿宋"/>
          <w:color w:val="auto"/>
          <w:sz w:val="32"/>
          <w:szCs w:val="32"/>
        </w:rPr>
        <w:t>开户行：兴业银行济南分行营业部</w:t>
      </w:r>
    </w:p>
    <w:p w14:paraId="51C273E3">
      <w:pPr>
        <w:spacing w:line="560" w:lineRule="exact"/>
        <w:ind w:firstLine="1600" w:firstLineChars="500"/>
        <w:rPr>
          <w:rFonts w:ascii="仿宋" w:hAnsi="仿宋" w:eastAsia="仿宋" w:cs="仿宋"/>
          <w:color w:val="auto"/>
          <w:sz w:val="32"/>
          <w:szCs w:val="32"/>
        </w:rPr>
      </w:pPr>
      <w:r>
        <w:rPr>
          <w:rFonts w:hint="eastAsia" w:ascii="仿宋" w:hAnsi="仿宋" w:eastAsia="仿宋" w:cs="仿宋"/>
          <w:color w:val="auto"/>
          <w:sz w:val="32"/>
          <w:szCs w:val="32"/>
        </w:rPr>
        <w:t>行号：</w:t>
      </w:r>
      <w:r>
        <w:rPr>
          <w:rFonts w:hint="eastAsia" w:ascii="仿宋" w:hAnsi="仿宋" w:eastAsia="仿宋" w:cs="仿宋"/>
          <w:bCs/>
          <w:color w:val="auto"/>
          <w:sz w:val="32"/>
          <w:szCs w:val="32"/>
          <w:shd w:val="clear" w:color="auto" w:fill="FFFFFF"/>
        </w:rPr>
        <w:t>309451013000</w:t>
      </w:r>
    </w:p>
    <w:p w14:paraId="0B5A5F80">
      <w:pPr>
        <w:spacing w:line="560" w:lineRule="exact"/>
        <w:ind w:firstLine="1600" w:firstLineChars="500"/>
        <w:rPr>
          <w:rFonts w:hint="eastAsia" w:ascii="仿宋_GB2312" w:hAnsi="宋体" w:eastAsia="仿宋_GB2312"/>
          <w:color w:val="auto"/>
          <w:sz w:val="32"/>
          <w:szCs w:val="32"/>
          <w:highlight w:val="none"/>
          <w:lang w:val="en-US" w:eastAsia="zh-CN"/>
        </w:rPr>
      </w:pPr>
      <w:r>
        <w:rPr>
          <w:rFonts w:hint="eastAsia" w:ascii="仿宋" w:hAnsi="仿宋" w:eastAsia="仿宋" w:cs="仿宋"/>
          <w:color w:val="auto"/>
          <w:sz w:val="32"/>
          <w:szCs w:val="32"/>
        </w:rPr>
        <w:t>账号：376010101100006482</w:t>
      </w:r>
    </w:p>
    <w:p w14:paraId="75152509">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十</w:t>
      </w:r>
      <w:r>
        <w:rPr>
          <w:rFonts w:hint="eastAsia" w:ascii="黑体" w:hAnsi="黑体" w:eastAsia="黑体" w:cs="宋体"/>
          <w:color w:val="auto"/>
          <w:kern w:val="0"/>
          <w:sz w:val="32"/>
          <w:szCs w:val="32"/>
        </w:rPr>
        <w:t>、决标方式</w:t>
      </w:r>
    </w:p>
    <w:p w14:paraId="20514D30">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本项目采取合理低价法评标，</w:t>
      </w:r>
      <w:r>
        <w:rPr>
          <w:rFonts w:hint="eastAsia" w:ascii="仿宋_GB2312" w:eastAsia="仿宋_GB2312" w:cs="Times New Roman"/>
          <w:color w:val="auto"/>
          <w:sz w:val="32"/>
          <w:szCs w:val="32"/>
          <w:lang w:eastAsia="zh-CN"/>
        </w:rPr>
        <w:t>按</w:t>
      </w:r>
      <w:r>
        <w:rPr>
          <w:rFonts w:hint="eastAsia" w:ascii="仿宋_GB2312" w:eastAsia="仿宋_GB2312" w:cs="Times New Roman"/>
          <w:color w:val="auto"/>
          <w:sz w:val="32"/>
          <w:szCs w:val="32"/>
          <w:lang w:val="en-US" w:eastAsia="zh-CN"/>
        </w:rPr>
        <w:t>标段总价最低分别授一家。</w:t>
      </w:r>
      <w:r>
        <w:rPr>
          <w:rFonts w:hint="eastAsia" w:ascii="仿宋_GB2312" w:hAnsi="Calibri" w:eastAsia="仿宋_GB2312" w:cs="Times New Roman"/>
          <w:color w:val="auto"/>
          <w:sz w:val="32"/>
          <w:szCs w:val="32"/>
        </w:rPr>
        <w:t>对不合理报价进行重点评价，按照各投标单位的有效报价计算均价，报价低于均价的30%时，由评标小组讨论商务报价的合理性，若不合理，作废标处理。</w:t>
      </w:r>
    </w:p>
    <w:p w14:paraId="72370DCD">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rPr>
        <w:t>十</w:t>
      </w:r>
      <w:r>
        <w:rPr>
          <w:rFonts w:hint="eastAsia" w:ascii="黑体" w:hAnsi="黑体" w:eastAsia="黑体" w:cs="宋体"/>
          <w:color w:val="auto"/>
          <w:kern w:val="0"/>
          <w:sz w:val="32"/>
          <w:szCs w:val="32"/>
          <w:lang w:val="en-US" w:eastAsia="zh-CN"/>
        </w:rPr>
        <w:t>一</w:t>
      </w:r>
      <w:r>
        <w:rPr>
          <w:rFonts w:hint="eastAsia" w:ascii="黑体" w:hAnsi="黑体" w:eastAsia="黑体" w:cs="宋体"/>
          <w:color w:val="auto"/>
          <w:kern w:val="0"/>
          <w:sz w:val="32"/>
          <w:szCs w:val="32"/>
        </w:rPr>
        <w:t>、招标文件澄清或答疑</w:t>
      </w:r>
    </w:p>
    <w:p w14:paraId="67B05A9D">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Calibri" w:eastAsia="仿宋_GB2312" w:cs="Times New Roman"/>
          <w:color w:val="auto"/>
          <w:sz w:val="32"/>
          <w:szCs w:val="32"/>
        </w:rPr>
      </w:pPr>
      <w:r>
        <w:rPr>
          <w:rFonts w:hint="eastAsia" w:ascii="仿宋_GB2312" w:eastAsia="仿宋_GB2312" w:cs="Times New Roman"/>
          <w:color w:val="auto"/>
          <w:sz w:val="32"/>
          <w:szCs w:val="32"/>
          <w:lang w:val="en-US" w:eastAsia="zh-CN"/>
        </w:rPr>
        <w:t>（一）</w:t>
      </w:r>
      <w:r>
        <w:rPr>
          <w:rFonts w:hint="eastAsia" w:ascii="仿宋_GB2312" w:hAnsi="Calibri" w:eastAsia="仿宋_GB2312" w:cs="Times New Roman"/>
          <w:color w:val="auto"/>
          <w:sz w:val="32"/>
          <w:szCs w:val="32"/>
          <w:lang w:val="en-US" w:eastAsia="zh-CN"/>
        </w:rPr>
        <w:t xml:space="preserve"> </w:t>
      </w:r>
      <w:r>
        <w:rPr>
          <w:rFonts w:hint="eastAsia" w:ascii="仿宋_GB2312" w:hAnsi="Calibri" w:eastAsia="仿宋_GB2312" w:cs="Times New Roman"/>
          <w:color w:val="auto"/>
          <w:sz w:val="32"/>
          <w:szCs w:val="32"/>
        </w:rPr>
        <w:t>在投标截止日前，招标人</w:t>
      </w:r>
      <w:r>
        <w:rPr>
          <w:rFonts w:hint="eastAsia" w:ascii="仿宋_GB2312" w:hAnsi="Calibri" w:eastAsia="仿宋_GB2312" w:cs="Times New Roman"/>
          <w:color w:val="auto"/>
          <w:sz w:val="32"/>
          <w:szCs w:val="32"/>
          <w:lang w:val="en-US" w:eastAsia="zh-CN"/>
        </w:rPr>
        <w:t>将根据投标人需求情况，</w:t>
      </w:r>
      <w:r>
        <w:rPr>
          <w:rFonts w:hint="eastAsia" w:ascii="仿宋_GB2312" w:hAnsi="Calibri" w:eastAsia="仿宋_GB2312" w:cs="Times New Roman"/>
          <w:color w:val="auto"/>
          <w:sz w:val="32"/>
          <w:szCs w:val="32"/>
        </w:rPr>
        <w:t>有权就招标文件进行澄清，澄清文件以附件的形式，在招标人招标平台内予以发布。</w:t>
      </w:r>
    </w:p>
    <w:p w14:paraId="1CAAB03B">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Calibri" w:eastAsia="仿宋_GB2312" w:cs="Times New Roman"/>
          <w:color w:val="auto"/>
          <w:sz w:val="32"/>
          <w:szCs w:val="32"/>
        </w:rPr>
      </w:pPr>
      <w:r>
        <w:rPr>
          <w:rFonts w:hint="eastAsia" w:ascii="仿宋_GB2312" w:eastAsia="仿宋_GB2312" w:cs="Times New Roman"/>
          <w:color w:val="auto"/>
          <w:sz w:val="32"/>
          <w:szCs w:val="32"/>
          <w:lang w:val="en-US" w:eastAsia="zh-CN"/>
        </w:rPr>
        <w:t>（二）</w:t>
      </w:r>
      <w:r>
        <w:rPr>
          <w:rFonts w:hint="eastAsia" w:ascii="仿宋_GB2312" w:hAnsi="Calibri" w:eastAsia="仿宋_GB2312" w:cs="Times New Roman"/>
          <w:color w:val="auto"/>
          <w:sz w:val="32"/>
          <w:szCs w:val="32"/>
        </w:rPr>
        <w:t>投标人要求招标人对招标文件答疑的，应在投标截止前向招标人提出，澄清文件给予统一答复。澄清要求文件应注明投标人名称及投标项目，不按要求注明信息的，招标人有权作未收到澄清要求文件处理。</w:t>
      </w:r>
    </w:p>
    <w:p w14:paraId="62F88E13">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Calibri" w:eastAsia="仿宋_GB2312" w:cs="Times New Roman"/>
          <w:color w:val="auto"/>
          <w:sz w:val="32"/>
          <w:szCs w:val="32"/>
        </w:rPr>
      </w:pPr>
      <w:r>
        <w:rPr>
          <w:rFonts w:hint="eastAsia" w:ascii="仿宋_GB2312" w:eastAsia="仿宋_GB2312" w:cs="Times New Roman"/>
          <w:color w:val="auto"/>
          <w:sz w:val="32"/>
          <w:szCs w:val="32"/>
          <w:lang w:val="en-US" w:eastAsia="zh-CN"/>
        </w:rPr>
        <w:t>（三）</w:t>
      </w:r>
      <w:r>
        <w:rPr>
          <w:rFonts w:hint="eastAsia" w:ascii="仿宋_GB2312" w:hAnsi="Calibri" w:eastAsia="仿宋_GB2312" w:cs="Times New Roman"/>
          <w:color w:val="auto"/>
          <w:sz w:val="32"/>
          <w:szCs w:val="32"/>
        </w:rPr>
        <w:t>请潜在投标人每日登陆山钢集团阳光购销管理信息平台</w:t>
      </w:r>
      <w:r>
        <w:rPr>
          <w:rFonts w:hint="eastAsia" w:ascii="仿宋_GB2312" w:eastAsia="仿宋_GB2312"/>
          <w:color w:val="auto"/>
          <w:sz w:val="32"/>
          <w:szCs w:val="32"/>
        </w:rPr>
        <w:t>(bams.shansteelgroup.com)</w:t>
      </w:r>
      <w:r>
        <w:rPr>
          <w:rFonts w:hint="eastAsia" w:ascii="仿宋_GB2312" w:hAnsi="Calibri" w:eastAsia="仿宋_GB2312" w:cs="Times New Roman"/>
          <w:color w:val="auto"/>
          <w:sz w:val="32"/>
          <w:szCs w:val="32"/>
        </w:rPr>
        <w:t>用注册的用户名查找是否有招标澄清或补充文件及现场澄清通知等信息，招标人不再单独通知，怠于登陆造成的后果由潜在投保人承担。</w:t>
      </w:r>
    </w:p>
    <w:p w14:paraId="0FDF9537">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rPr>
        <w:t>十</w:t>
      </w:r>
      <w:r>
        <w:rPr>
          <w:rFonts w:hint="eastAsia" w:ascii="黑体" w:hAnsi="黑体" w:eastAsia="黑体" w:cs="宋体"/>
          <w:color w:val="auto"/>
          <w:kern w:val="0"/>
          <w:sz w:val="32"/>
          <w:szCs w:val="32"/>
          <w:lang w:val="en-US" w:eastAsia="zh-CN"/>
        </w:rPr>
        <w:t>二</w:t>
      </w:r>
      <w:r>
        <w:rPr>
          <w:rFonts w:hint="eastAsia" w:ascii="黑体" w:hAnsi="黑体" w:eastAsia="黑体" w:cs="宋体"/>
          <w:color w:val="auto"/>
          <w:kern w:val="0"/>
          <w:sz w:val="32"/>
          <w:szCs w:val="32"/>
        </w:rPr>
        <w:t>、招标人联系地址、联系人及联系方式</w:t>
      </w:r>
    </w:p>
    <w:p w14:paraId="535ED830">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Calibri" w:eastAsia="仿宋_GB2312" w:cs="Times New Roman"/>
          <w:color w:val="auto"/>
          <w:sz w:val="32"/>
          <w:szCs w:val="32"/>
        </w:rPr>
        <w:t>联系地址：</w:t>
      </w:r>
      <w:r>
        <w:rPr>
          <w:rFonts w:hint="eastAsia" w:ascii="仿宋_GB2312" w:eastAsia="仿宋_GB2312" w:cs="Times New Roman"/>
          <w:color w:val="auto"/>
          <w:sz w:val="32"/>
          <w:szCs w:val="32"/>
          <w:lang w:val="en-US" w:eastAsia="zh-CN"/>
        </w:rPr>
        <w:t>招标中心</w:t>
      </w:r>
    </w:p>
    <w:p w14:paraId="138BD216">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招标项目联系人：</w:t>
      </w:r>
      <w:r>
        <w:rPr>
          <w:rFonts w:hint="eastAsia" w:ascii="仿宋_GB2312" w:hAnsi="仿宋_GB2312" w:eastAsia="仿宋_GB2312" w:cs="仿宋_GB2312"/>
          <w:color w:val="auto"/>
          <w:sz w:val="32"/>
          <w:szCs w:val="32"/>
          <w:lang w:val="en-US" w:eastAsia="zh-CN"/>
        </w:rPr>
        <w:t>衣先生   0531-76829369</w:t>
      </w:r>
    </w:p>
    <w:p w14:paraId="0DA59709">
      <w:pPr>
        <w:keepNext w:val="0"/>
        <w:keepLines w:val="0"/>
        <w:pageBreakBefore w:val="0"/>
        <w:kinsoku/>
        <w:wordWrap/>
        <w:overflowPunct/>
        <w:topLinePunct w:val="0"/>
        <w:autoSpaceDE/>
        <w:autoSpaceDN/>
        <w:bidi w:val="0"/>
        <w:spacing w:line="560" w:lineRule="exact"/>
        <w:ind w:firstLine="640" w:firstLineChars="200"/>
        <w:jc w:val="left"/>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招标平台联系人：</w:t>
      </w:r>
      <w:r>
        <w:rPr>
          <w:rFonts w:hint="eastAsia" w:ascii="仿宋_GB2312" w:hAnsi="仿宋_GB2312" w:eastAsia="仿宋_GB2312" w:cs="仿宋_GB2312"/>
          <w:color w:val="auto"/>
          <w:sz w:val="32"/>
          <w:szCs w:val="32"/>
          <w:lang w:val="en-US" w:eastAsia="zh-CN"/>
        </w:rPr>
        <w:t>李</w:t>
      </w:r>
      <w:r>
        <w:rPr>
          <w:rFonts w:hint="eastAsia" w:ascii="仿宋_GB2312" w:hAnsi="仿宋_GB2312" w:eastAsia="仿宋_GB2312" w:cs="仿宋_GB2312"/>
          <w:color w:val="auto"/>
          <w:sz w:val="32"/>
          <w:szCs w:val="32"/>
        </w:rPr>
        <w:t>先生   0531-769231</w:t>
      </w:r>
      <w:r>
        <w:rPr>
          <w:rFonts w:hint="eastAsia" w:ascii="仿宋_GB2312" w:hAnsi="仿宋_GB2312" w:eastAsia="仿宋_GB2312" w:cs="仿宋_GB2312"/>
          <w:color w:val="auto"/>
          <w:sz w:val="32"/>
          <w:szCs w:val="32"/>
          <w:lang w:val="en-US" w:eastAsia="zh-CN"/>
        </w:rPr>
        <w:t>96</w:t>
      </w:r>
    </w:p>
    <w:p w14:paraId="3D77B6CF">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right="0" w:firstLine="640" w:firstLineChars="200"/>
        <w:jc w:val="both"/>
        <w:textAlignment w:val="auto"/>
        <w:rPr>
          <w:rFonts w:ascii="黑体" w:hAnsi="黑体" w:eastAsia="黑体" w:cs="宋体"/>
          <w:sz w:val="32"/>
          <w:szCs w:val="32"/>
        </w:rPr>
      </w:pPr>
      <w:r>
        <w:rPr>
          <w:rFonts w:hint="eastAsia" w:ascii="黑体" w:hAnsi="黑体" w:eastAsia="黑体" w:cs="宋体"/>
          <w:sz w:val="32"/>
          <w:szCs w:val="32"/>
          <w:lang w:val="en-US" w:eastAsia="zh-CN"/>
        </w:rPr>
        <w:t>十三</w:t>
      </w:r>
      <w:r>
        <w:rPr>
          <w:rFonts w:hint="eastAsia" w:ascii="黑体" w:hAnsi="黑体" w:eastAsia="黑体" w:cs="宋体"/>
          <w:sz w:val="32"/>
          <w:szCs w:val="32"/>
        </w:rPr>
        <w:t>、投标有关表格</w:t>
      </w:r>
    </w:p>
    <w:p w14:paraId="3590C0A8">
      <w:pPr>
        <w:keepNext w:val="0"/>
        <w:keepLines w:val="0"/>
        <w:pageBreakBefore w:val="0"/>
        <w:tabs>
          <w:tab w:val="left" w:pos="993"/>
        </w:tabs>
        <w:kinsoku/>
        <w:wordWrap/>
        <w:overflowPunct/>
        <w:topLinePunct w:val="0"/>
        <w:autoSpaceDE/>
        <w:autoSpaceDN/>
        <w:bidi w:val="0"/>
        <w:spacing w:line="240" w:lineRule="auto"/>
        <w:ind w:right="0" w:firstLine="640" w:firstLineChars="200"/>
        <w:textAlignment w:val="auto"/>
        <w:rPr>
          <w:rFonts w:ascii="仿宋_GB2312" w:hAnsi="宋体" w:eastAsia="仿宋_GB2312"/>
          <w:b/>
          <w:sz w:val="32"/>
          <w:szCs w:val="32"/>
        </w:rPr>
      </w:pPr>
      <w:r>
        <w:rPr>
          <w:rFonts w:hint="eastAsia" w:ascii="楷体_GB2312" w:hAnsi="黑体" w:eastAsia="楷体_GB2312"/>
          <w:sz w:val="32"/>
          <w:szCs w:val="32"/>
        </w:rPr>
        <w:t>附表1、</w:t>
      </w:r>
      <w:r>
        <w:rPr>
          <w:rFonts w:hint="eastAsia" w:ascii="仿宋_GB2312" w:hAnsi="宋体" w:eastAsia="仿宋_GB2312"/>
          <w:b/>
          <w:sz w:val="32"/>
          <w:szCs w:val="32"/>
        </w:rPr>
        <w:t>报价表</w:t>
      </w:r>
    </w:p>
    <w:p w14:paraId="54826912">
      <w:pPr>
        <w:tabs>
          <w:tab w:val="left" w:pos="993"/>
        </w:tabs>
        <w:spacing w:beforeLines="-2147483648" w:afterLines="-2147483648"/>
        <w:ind w:firstLine="643" w:firstLineChars="200"/>
        <w:jc w:val="left"/>
        <w:rPr>
          <w:rFonts w:ascii="仿宋_GB2312" w:eastAsia="仿宋_GB2312"/>
          <w:sz w:val="32"/>
          <w:szCs w:val="32"/>
        </w:rPr>
      </w:pPr>
      <w:r>
        <w:rPr>
          <w:rFonts w:hint="eastAsia" w:ascii="仿宋_GB2312" w:hAnsi="宋体" w:eastAsia="仿宋_GB2312"/>
          <w:b/>
          <w:sz w:val="32"/>
          <w:szCs w:val="32"/>
          <w:lang w:val="en-US" w:eastAsia="zh-CN"/>
        </w:rPr>
        <w:t xml:space="preserve"> </w:t>
      </w:r>
      <w:r>
        <w:rPr>
          <w:rFonts w:hint="eastAsia" w:ascii="仿宋_GB2312" w:hAnsi="宋体" w:eastAsia="仿宋_GB2312" w:cs="宋体"/>
          <w:sz w:val="32"/>
          <w:szCs w:val="32"/>
        </w:rPr>
        <w:t xml:space="preserve">      </w:t>
      </w: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rPr>
        <w:t>山东钢铁股份有限公司</w:t>
      </w:r>
    </w:p>
    <w:p w14:paraId="670220E8">
      <w:pPr>
        <w:tabs>
          <w:tab w:val="left" w:pos="993"/>
        </w:tabs>
        <w:spacing w:line="560" w:lineRule="exact"/>
        <w:ind w:firstLine="5440" w:firstLineChars="1700"/>
        <w:rPr>
          <w:rFonts w:hint="eastAsia" w:ascii="仿宋_GB2312" w:hAnsi="宋体" w:eastAsia="仿宋_GB2312" w:cs="宋体"/>
          <w:sz w:val="32"/>
          <w:szCs w:val="32"/>
        </w:rPr>
      </w:pPr>
      <w:r>
        <w:rPr>
          <w:rFonts w:hint="eastAsia" w:ascii="仿宋_GB2312" w:hAnsi="宋体" w:eastAsia="仿宋_GB2312" w:cs="宋体"/>
          <w:sz w:val="32"/>
          <w:szCs w:val="32"/>
        </w:rPr>
        <w:t>202</w:t>
      </w: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11</w:t>
      </w:r>
      <w:r>
        <w:rPr>
          <w:rFonts w:hint="eastAsia" w:ascii="仿宋_GB2312" w:hAnsi="宋体" w:eastAsia="仿宋_GB2312" w:cs="宋体"/>
          <w:sz w:val="32"/>
          <w:szCs w:val="32"/>
        </w:rPr>
        <w:t>月</w:t>
      </w:r>
      <w:r>
        <w:rPr>
          <w:rFonts w:hint="eastAsia" w:ascii="仿宋_GB2312" w:hAnsi="宋体" w:eastAsia="仿宋_GB2312" w:cs="宋体"/>
          <w:sz w:val="32"/>
          <w:szCs w:val="32"/>
          <w:lang w:val="en-US" w:eastAsia="zh-CN"/>
        </w:rPr>
        <w:t>15</w:t>
      </w:r>
      <w:r>
        <w:rPr>
          <w:rFonts w:hint="eastAsia" w:ascii="仿宋_GB2312" w:hAnsi="宋体" w:eastAsia="仿宋_GB2312" w:cs="宋体"/>
          <w:sz w:val="32"/>
          <w:szCs w:val="32"/>
        </w:rPr>
        <w:t>日</w:t>
      </w:r>
    </w:p>
    <w:p w14:paraId="4D8203EB">
      <w:pPr>
        <w:rPr>
          <w:rFonts w:hint="eastAsia" w:ascii="宋体" w:hAnsi="宋体" w:cs="宋体"/>
          <w:b/>
          <w:sz w:val="32"/>
          <w:szCs w:val="32"/>
        </w:rPr>
      </w:pPr>
    </w:p>
    <w:p w14:paraId="75D605B8">
      <w:pPr>
        <w:rPr>
          <w:rFonts w:hint="eastAsia" w:ascii="宋体" w:hAnsi="宋体" w:cs="宋体"/>
          <w:b/>
          <w:sz w:val="32"/>
          <w:szCs w:val="32"/>
        </w:rPr>
      </w:pPr>
    </w:p>
    <w:p w14:paraId="269593EE">
      <w:pPr>
        <w:rPr>
          <w:rFonts w:hint="eastAsia" w:ascii="宋体" w:hAnsi="宋体" w:cs="宋体"/>
          <w:b/>
          <w:sz w:val="32"/>
          <w:szCs w:val="32"/>
        </w:rPr>
      </w:pPr>
    </w:p>
    <w:p w14:paraId="65A40643">
      <w:pPr>
        <w:rPr>
          <w:rFonts w:hint="eastAsia" w:ascii="宋体" w:hAnsi="宋体" w:cs="宋体"/>
          <w:b/>
          <w:sz w:val="32"/>
          <w:szCs w:val="32"/>
        </w:rPr>
      </w:pPr>
    </w:p>
    <w:p w14:paraId="54E186C6">
      <w:pPr>
        <w:rPr>
          <w:rFonts w:hint="eastAsia" w:ascii="宋体" w:hAnsi="宋体" w:cs="宋体"/>
          <w:b/>
          <w:sz w:val="32"/>
          <w:szCs w:val="32"/>
        </w:rPr>
      </w:pPr>
    </w:p>
    <w:p w14:paraId="363954C9">
      <w:pPr>
        <w:rPr>
          <w:rFonts w:ascii="黑体" w:hAnsi="Times New Roman" w:eastAsia="黑体"/>
          <w:sz w:val="32"/>
          <w:szCs w:val="32"/>
        </w:rPr>
      </w:pPr>
      <w:r>
        <w:rPr>
          <w:rFonts w:hint="eastAsia" w:ascii="宋体" w:hAnsi="宋体" w:cs="宋体"/>
          <w:b/>
          <w:sz w:val="32"/>
          <w:szCs w:val="32"/>
        </w:rPr>
        <w:t>附表1：</w:t>
      </w:r>
      <w:r>
        <w:rPr>
          <w:rFonts w:hint="eastAsia" w:ascii="黑体" w:hAnsi="Times New Roman" w:eastAsia="黑体"/>
          <w:sz w:val="32"/>
          <w:szCs w:val="32"/>
        </w:rPr>
        <w:t>报价表</w:t>
      </w:r>
    </w:p>
    <w:tbl>
      <w:tblPr>
        <w:tblStyle w:val="6"/>
        <w:tblW w:w="87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6"/>
        <w:gridCol w:w="926"/>
        <w:gridCol w:w="926"/>
        <w:gridCol w:w="3179"/>
        <w:gridCol w:w="926"/>
        <w:gridCol w:w="926"/>
        <w:gridCol w:w="926"/>
      </w:tblGrid>
      <w:tr w14:paraId="6172D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3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标段</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B7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EE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使用单位</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0E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标的名称</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DD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1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拦标价</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D1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r>
      <w:tr w14:paraId="60593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6" w:type="dxa"/>
            <w:vMerge w:val="restart"/>
            <w:tcBorders>
              <w:top w:val="single" w:color="000000" w:sz="4" w:space="0"/>
              <w:left w:val="single" w:color="000000" w:sz="4" w:space="0"/>
              <w:right w:val="single" w:color="000000" w:sz="4" w:space="0"/>
            </w:tcBorders>
            <w:shd w:val="clear" w:color="auto" w:fill="auto"/>
            <w:noWrap/>
            <w:vAlign w:val="center"/>
          </w:tcPr>
          <w:p w14:paraId="70238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B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6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型钢厂</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DA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小型-型钢厂储配站（原物流运输部储配站）</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F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元/吨</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6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BE3A">
            <w:pPr>
              <w:jc w:val="both"/>
              <w:rPr>
                <w:rFonts w:hint="eastAsia" w:ascii="宋体" w:hAnsi="宋体" w:eastAsia="宋体" w:cs="宋体"/>
                <w:i w:val="0"/>
                <w:iCs w:val="0"/>
                <w:color w:val="000000"/>
                <w:sz w:val="22"/>
                <w:szCs w:val="22"/>
                <w:u w:val="none"/>
              </w:rPr>
            </w:pPr>
          </w:p>
        </w:tc>
      </w:tr>
      <w:tr w14:paraId="6C655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6" w:type="dxa"/>
            <w:vMerge w:val="continue"/>
            <w:tcBorders>
              <w:left w:val="single" w:color="000000" w:sz="4" w:space="0"/>
              <w:right w:val="single" w:color="000000" w:sz="4" w:space="0"/>
            </w:tcBorders>
            <w:shd w:val="clear" w:color="auto" w:fill="auto"/>
            <w:noWrap/>
            <w:vAlign w:val="center"/>
          </w:tcPr>
          <w:p w14:paraId="57D89525">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C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2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型钢厂</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72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小型-精整中心（原物流运输部生产区内）</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5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元/吨</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5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C24F">
            <w:pPr>
              <w:jc w:val="both"/>
              <w:rPr>
                <w:rFonts w:hint="eastAsia" w:ascii="宋体" w:hAnsi="宋体" w:eastAsia="宋体" w:cs="宋体"/>
                <w:i w:val="0"/>
                <w:iCs w:val="0"/>
                <w:color w:val="000000"/>
                <w:sz w:val="22"/>
                <w:szCs w:val="22"/>
                <w:u w:val="none"/>
              </w:rPr>
            </w:pPr>
          </w:p>
        </w:tc>
      </w:tr>
      <w:tr w14:paraId="37977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6" w:type="dxa"/>
            <w:vMerge w:val="continue"/>
            <w:tcBorders>
              <w:left w:val="single" w:color="000000" w:sz="4" w:space="0"/>
              <w:right w:val="single" w:color="000000" w:sz="4" w:space="0"/>
            </w:tcBorders>
            <w:shd w:val="clear" w:color="auto" w:fill="auto"/>
            <w:noWrap/>
            <w:vAlign w:val="center"/>
          </w:tcPr>
          <w:p w14:paraId="75498092">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1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D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型钢厂</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01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异型-大型</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6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元/吨</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2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33B2">
            <w:pPr>
              <w:jc w:val="both"/>
              <w:rPr>
                <w:rFonts w:hint="eastAsia" w:ascii="宋体" w:hAnsi="宋体" w:eastAsia="宋体" w:cs="宋体"/>
                <w:i w:val="0"/>
                <w:iCs w:val="0"/>
                <w:color w:val="000000"/>
                <w:sz w:val="22"/>
                <w:szCs w:val="22"/>
                <w:u w:val="none"/>
              </w:rPr>
            </w:pPr>
          </w:p>
        </w:tc>
      </w:tr>
      <w:tr w14:paraId="707CC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6" w:type="dxa"/>
            <w:vMerge w:val="continue"/>
            <w:tcBorders>
              <w:left w:val="single" w:color="000000" w:sz="4" w:space="0"/>
              <w:right w:val="single" w:color="000000" w:sz="4" w:space="0"/>
            </w:tcBorders>
            <w:shd w:val="clear" w:color="auto" w:fill="auto"/>
            <w:noWrap/>
            <w:vAlign w:val="center"/>
          </w:tcPr>
          <w:p w14:paraId="66D71CE4">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D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E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型钢厂</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779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异型-精整中心（原物流运输部生产区内）</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0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元/吨</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D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7EBE3">
            <w:pPr>
              <w:jc w:val="both"/>
              <w:rPr>
                <w:rFonts w:hint="eastAsia" w:ascii="宋体" w:hAnsi="宋体" w:eastAsia="宋体" w:cs="宋体"/>
                <w:i w:val="0"/>
                <w:iCs w:val="0"/>
                <w:color w:val="000000"/>
                <w:sz w:val="22"/>
                <w:szCs w:val="22"/>
                <w:u w:val="none"/>
              </w:rPr>
            </w:pPr>
          </w:p>
        </w:tc>
      </w:tr>
      <w:tr w14:paraId="2CE7C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6" w:type="dxa"/>
            <w:vMerge w:val="continue"/>
            <w:tcBorders>
              <w:left w:val="single" w:color="000000" w:sz="4" w:space="0"/>
              <w:right w:val="single" w:color="000000" w:sz="4" w:space="0"/>
            </w:tcBorders>
            <w:shd w:val="clear" w:color="auto" w:fill="auto"/>
            <w:noWrap/>
            <w:vAlign w:val="center"/>
          </w:tcPr>
          <w:p w14:paraId="1EDD8E08">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D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6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型钢厂</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96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异型-中型（装路局）</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9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元/吨</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9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31DD">
            <w:pPr>
              <w:jc w:val="both"/>
              <w:rPr>
                <w:rFonts w:hint="eastAsia" w:ascii="宋体" w:hAnsi="宋体" w:eastAsia="宋体" w:cs="宋体"/>
                <w:i w:val="0"/>
                <w:iCs w:val="0"/>
                <w:color w:val="000000"/>
                <w:sz w:val="22"/>
                <w:szCs w:val="22"/>
                <w:u w:val="none"/>
              </w:rPr>
            </w:pPr>
          </w:p>
        </w:tc>
      </w:tr>
      <w:tr w14:paraId="2E751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6" w:type="dxa"/>
            <w:vMerge w:val="continue"/>
            <w:tcBorders>
              <w:left w:val="single" w:color="000000" w:sz="4" w:space="0"/>
              <w:right w:val="single" w:color="000000" w:sz="4" w:space="0"/>
            </w:tcBorders>
            <w:shd w:val="clear" w:color="auto" w:fill="auto"/>
            <w:noWrap/>
            <w:vAlign w:val="center"/>
          </w:tcPr>
          <w:p w14:paraId="0FA55418">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A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0F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型钢厂</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AE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异型-储配站（原物流运输部储配站）</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2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元/吨</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1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4749">
            <w:pPr>
              <w:jc w:val="both"/>
              <w:rPr>
                <w:rFonts w:hint="eastAsia" w:ascii="宋体" w:hAnsi="宋体" w:eastAsia="宋体" w:cs="宋体"/>
                <w:i w:val="0"/>
                <w:iCs w:val="0"/>
                <w:color w:val="000000"/>
                <w:sz w:val="22"/>
                <w:szCs w:val="22"/>
                <w:u w:val="none"/>
              </w:rPr>
            </w:pPr>
          </w:p>
        </w:tc>
      </w:tr>
      <w:tr w14:paraId="749D6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6" w:type="dxa"/>
            <w:vMerge w:val="continue"/>
            <w:tcBorders>
              <w:left w:val="single" w:color="000000" w:sz="4" w:space="0"/>
              <w:right w:val="single" w:color="000000" w:sz="4" w:space="0"/>
            </w:tcBorders>
            <w:shd w:val="clear" w:color="auto" w:fill="auto"/>
            <w:noWrap/>
            <w:vAlign w:val="center"/>
          </w:tcPr>
          <w:p w14:paraId="3B5BB511">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C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B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型钢厂</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92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型钢厂储配站到型钢厂中型车间成品库</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8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元/吨</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2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8330">
            <w:pPr>
              <w:jc w:val="both"/>
              <w:rPr>
                <w:rFonts w:hint="eastAsia" w:ascii="宋体" w:hAnsi="宋体" w:eastAsia="宋体" w:cs="宋体"/>
                <w:i w:val="0"/>
                <w:iCs w:val="0"/>
                <w:color w:val="000000"/>
                <w:sz w:val="22"/>
                <w:szCs w:val="22"/>
                <w:u w:val="none"/>
              </w:rPr>
            </w:pPr>
          </w:p>
        </w:tc>
      </w:tr>
      <w:tr w14:paraId="621D5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6" w:type="dxa"/>
            <w:vMerge w:val="continue"/>
            <w:tcBorders>
              <w:left w:val="single" w:color="000000" w:sz="4" w:space="0"/>
              <w:right w:val="single" w:color="000000" w:sz="4" w:space="0"/>
            </w:tcBorders>
            <w:shd w:val="clear" w:color="auto" w:fill="auto"/>
            <w:noWrap/>
            <w:vAlign w:val="center"/>
          </w:tcPr>
          <w:p w14:paraId="57CA5A8D">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CF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8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型钢厂</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30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建安公司精整基地至型钢厂储配站（原物流运输部储配站）</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0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元/吨</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B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609B0">
            <w:pPr>
              <w:jc w:val="both"/>
              <w:rPr>
                <w:rFonts w:hint="eastAsia" w:ascii="宋体" w:hAnsi="宋体" w:eastAsia="宋体" w:cs="宋体"/>
                <w:i w:val="0"/>
                <w:iCs w:val="0"/>
                <w:color w:val="000000"/>
                <w:sz w:val="22"/>
                <w:szCs w:val="22"/>
                <w:u w:val="none"/>
              </w:rPr>
            </w:pPr>
          </w:p>
        </w:tc>
      </w:tr>
      <w:tr w14:paraId="17B7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6" w:type="dxa"/>
            <w:vMerge w:val="continue"/>
            <w:tcBorders>
              <w:left w:val="single" w:color="000000" w:sz="4" w:space="0"/>
              <w:right w:val="single" w:color="000000" w:sz="4" w:space="0"/>
            </w:tcBorders>
            <w:shd w:val="clear" w:color="auto" w:fill="auto"/>
            <w:noWrap/>
            <w:vAlign w:val="center"/>
          </w:tcPr>
          <w:p w14:paraId="47D83C9C">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1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C6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型钢厂</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4BF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建安公司精整基地至型钢厂精整中心（原物流运输部生产区内）</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7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元/吨</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F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CABF">
            <w:pPr>
              <w:jc w:val="both"/>
              <w:rPr>
                <w:rFonts w:hint="eastAsia" w:ascii="宋体" w:hAnsi="宋体" w:eastAsia="宋体" w:cs="宋体"/>
                <w:i w:val="0"/>
                <w:iCs w:val="0"/>
                <w:color w:val="000000"/>
                <w:sz w:val="22"/>
                <w:szCs w:val="22"/>
                <w:u w:val="none"/>
              </w:rPr>
            </w:pPr>
          </w:p>
        </w:tc>
      </w:tr>
      <w:tr w14:paraId="43558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6" w:type="dxa"/>
            <w:vMerge w:val="continue"/>
            <w:tcBorders>
              <w:left w:val="single" w:color="000000" w:sz="4" w:space="0"/>
              <w:right w:val="single" w:color="000000" w:sz="4" w:space="0"/>
            </w:tcBorders>
            <w:shd w:val="clear" w:color="auto" w:fill="auto"/>
            <w:noWrap/>
            <w:vAlign w:val="center"/>
          </w:tcPr>
          <w:p w14:paraId="7FCA278A">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9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B9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型钢厂</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F0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建安公司精整基地至型钢厂大型车间成品库</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A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元/吨</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C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44DE">
            <w:pPr>
              <w:jc w:val="both"/>
              <w:rPr>
                <w:rFonts w:hint="eastAsia" w:ascii="宋体" w:hAnsi="宋体" w:eastAsia="宋体" w:cs="宋体"/>
                <w:i w:val="0"/>
                <w:iCs w:val="0"/>
                <w:color w:val="000000"/>
                <w:sz w:val="22"/>
                <w:szCs w:val="22"/>
                <w:u w:val="none"/>
              </w:rPr>
            </w:pPr>
          </w:p>
        </w:tc>
      </w:tr>
      <w:tr w14:paraId="4DF98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6" w:type="dxa"/>
            <w:vMerge w:val="continue"/>
            <w:tcBorders>
              <w:left w:val="single" w:color="000000" w:sz="4" w:space="0"/>
              <w:right w:val="single" w:color="000000" w:sz="4" w:space="0"/>
            </w:tcBorders>
            <w:shd w:val="clear" w:color="auto" w:fill="auto"/>
            <w:noWrap/>
            <w:vAlign w:val="center"/>
          </w:tcPr>
          <w:p w14:paraId="65E68EAC">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F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B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型钢厂</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5F8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建安公司精整基地至型钢厂中型车间成品库</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3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元/吨</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A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DB3B">
            <w:pPr>
              <w:jc w:val="both"/>
              <w:rPr>
                <w:rFonts w:hint="eastAsia" w:ascii="宋体" w:hAnsi="宋体" w:eastAsia="宋体" w:cs="宋体"/>
                <w:i w:val="0"/>
                <w:iCs w:val="0"/>
                <w:color w:val="000000"/>
                <w:sz w:val="22"/>
                <w:szCs w:val="22"/>
                <w:u w:val="none"/>
              </w:rPr>
            </w:pPr>
          </w:p>
        </w:tc>
      </w:tr>
      <w:tr w14:paraId="2BC23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6" w:type="dxa"/>
            <w:vMerge w:val="continue"/>
            <w:tcBorders>
              <w:left w:val="single" w:color="000000" w:sz="4" w:space="0"/>
              <w:right w:val="single" w:color="000000" w:sz="4" w:space="0"/>
            </w:tcBorders>
            <w:shd w:val="clear" w:color="auto" w:fill="auto"/>
            <w:noWrap/>
            <w:vAlign w:val="center"/>
          </w:tcPr>
          <w:p w14:paraId="706CD4F1">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4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C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型钢厂</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28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型钢厂储配站到型钢厂大型车间成品库</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8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元/吨</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1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79BF">
            <w:pPr>
              <w:jc w:val="both"/>
              <w:rPr>
                <w:rFonts w:hint="eastAsia" w:ascii="宋体" w:hAnsi="宋体" w:eastAsia="宋体" w:cs="宋体"/>
                <w:i w:val="0"/>
                <w:iCs w:val="0"/>
                <w:color w:val="000000"/>
                <w:sz w:val="22"/>
                <w:szCs w:val="22"/>
                <w:u w:val="none"/>
              </w:rPr>
            </w:pPr>
          </w:p>
        </w:tc>
      </w:tr>
      <w:tr w14:paraId="3AE34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6" w:type="dxa"/>
            <w:vMerge w:val="continue"/>
            <w:tcBorders>
              <w:left w:val="single" w:color="000000" w:sz="4" w:space="0"/>
              <w:right w:val="single" w:color="000000" w:sz="4" w:space="0"/>
            </w:tcBorders>
            <w:shd w:val="clear" w:color="auto" w:fill="auto"/>
            <w:noWrap/>
            <w:vAlign w:val="center"/>
          </w:tcPr>
          <w:p w14:paraId="7E85B26C">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C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B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型钢厂</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D9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废钢加工中心（原物流运输部生产区内）至型钢小型钢坯倒运</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A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元/吨</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E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3193">
            <w:pPr>
              <w:jc w:val="both"/>
              <w:rPr>
                <w:rFonts w:hint="eastAsia" w:ascii="宋体" w:hAnsi="宋体" w:eastAsia="宋体" w:cs="宋体"/>
                <w:i w:val="0"/>
                <w:iCs w:val="0"/>
                <w:color w:val="000000"/>
                <w:sz w:val="22"/>
                <w:szCs w:val="22"/>
                <w:u w:val="none"/>
              </w:rPr>
            </w:pPr>
          </w:p>
        </w:tc>
      </w:tr>
      <w:tr w14:paraId="54179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6" w:type="dxa"/>
            <w:vMerge w:val="continue"/>
            <w:tcBorders>
              <w:left w:val="single" w:color="000000" w:sz="4" w:space="0"/>
              <w:right w:val="single" w:color="000000" w:sz="4" w:space="0"/>
            </w:tcBorders>
            <w:shd w:val="clear" w:color="auto" w:fill="auto"/>
            <w:noWrap/>
            <w:vAlign w:val="center"/>
          </w:tcPr>
          <w:p w14:paraId="1B586365">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F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8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型钢厂</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09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型钢厂大型车间至型钢厂精整中心（原物流运输部生产区内）</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0A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元/吨</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E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D29A">
            <w:pPr>
              <w:jc w:val="both"/>
              <w:rPr>
                <w:rFonts w:hint="eastAsia" w:ascii="宋体" w:hAnsi="宋体" w:eastAsia="宋体" w:cs="宋体"/>
                <w:i w:val="0"/>
                <w:iCs w:val="0"/>
                <w:color w:val="000000"/>
                <w:sz w:val="22"/>
                <w:szCs w:val="22"/>
                <w:u w:val="none"/>
              </w:rPr>
            </w:pPr>
          </w:p>
        </w:tc>
      </w:tr>
      <w:tr w14:paraId="7ECA9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6" w:type="dxa"/>
            <w:vMerge w:val="continue"/>
            <w:tcBorders>
              <w:left w:val="single" w:color="000000" w:sz="4" w:space="0"/>
              <w:right w:val="single" w:color="000000" w:sz="4" w:space="0"/>
            </w:tcBorders>
            <w:shd w:val="clear" w:color="auto" w:fill="auto"/>
            <w:noWrap/>
            <w:vAlign w:val="center"/>
          </w:tcPr>
          <w:p w14:paraId="4114FF7C">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96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3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型钢厂</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A8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型钢厂小型车间至型钢厂中型车间</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0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元/吨</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9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B323">
            <w:pPr>
              <w:jc w:val="both"/>
              <w:rPr>
                <w:rFonts w:hint="eastAsia" w:ascii="宋体" w:hAnsi="宋体" w:eastAsia="宋体" w:cs="宋体"/>
                <w:i w:val="0"/>
                <w:iCs w:val="0"/>
                <w:color w:val="000000"/>
                <w:sz w:val="22"/>
                <w:szCs w:val="22"/>
                <w:u w:val="none"/>
              </w:rPr>
            </w:pPr>
          </w:p>
        </w:tc>
      </w:tr>
      <w:tr w14:paraId="3DA1C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6" w:type="dxa"/>
            <w:vMerge w:val="continue"/>
            <w:tcBorders>
              <w:left w:val="single" w:color="000000" w:sz="4" w:space="0"/>
              <w:right w:val="single" w:color="000000" w:sz="4" w:space="0"/>
            </w:tcBorders>
            <w:shd w:val="clear" w:color="auto" w:fill="auto"/>
            <w:noWrap/>
            <w:vAlign w:val="center"/>
          </w:tcPr>
          <w:p w14:paraId="2E0825CE">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3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30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型钢厂</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99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型钢厂中型车间至型钢厂精整中心（原物流运输部生产区内）</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7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元/吨</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8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E22A">
            <w:pPr>
              <w:jc w:val="both"/>
              <w:rPr>
                <w:rFonts w:hint="eastAsia" w:ascii="宋体" w:hAnsi="宋体" w:eastAsia="宋体" w:cs="宋体"/>
                <w:i w:val="0"/>
                <w:iCs w:val="0"/>
                <w:color w:val="000000"/>
                <w:sz w:val="22"/>
                <w:szCs w:val="22"/>
                <w:u w:val="none"/>
              </w:rPr>
            </w:pPr>
          </w:p>
        </w:tc>
      </w:tr>
      <w:tr w14:paraId="01B23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6" w:type="dxa"/>
            <w:vMerge w:val="continue"/>
            <w:tcBorders>
              <w:left w:val="single" w:color="000000" w:sz="4" w:space="0"/>
              <w:right w:val="single" w:color="000000" w:sz="4" w:space="0"/>
            </w:tcBorders>
            <w:shd w:val="clear" w:color="auto" w:fill="auto"/>
            <w:noWrap/>
            <w:vAlign w:val="center"/>
          </w:tcPr>
          <w:p w14:paraId="547DAC04">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E56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17</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D44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型钢厂</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C57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异型成品库至窄带精整线</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8AF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元/吨</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B32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2.03</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F60CF">
            <w:pPr>
              <w:jc w:val="both"/>
              <w:rPr>
                <w:rFonts w:hint="eastAsia" w:ascii="宋体" w:hAnsi="宋体" w:eastAsia="宋体" w:cs="宋体"/>
                <w:i w:val="0"/>
                <w:iCs w:val="0"/>
                <w:color w:val="000000"/>
                <w:sz w:val="22"/>
                <w:szCs w:val="22"/>
                <w:u w:val="none"/>
              </w:rPr>
            </w:pPr>
          </w:p>
        </w:tc>
      </w:tr>
      <w:tr w14:paraId="616D4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6" w:type="dxa"/>
            <w:vMerge w:val="continue"/>
            <w:tcBorders>
              <w:left w:val="single" w:color="000000" w:sz="4" w:space="0"/>
              <w:right w:val="single" w:color="000000" w:sz="4" w:space="0"/>
            </w:tcBorders>
            <w:shd w:val="clear" w:color="auto" w:fill="auto"/>
            <w:noWrap/>
            <w:vAlign w:val="center"/>
          </w:tcPr>
          <w:p w14:paraId="7A21521C">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C36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2B6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型钢厂</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317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窄带精整线至储配站</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3BB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元/吨</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83D9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5.49</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8CCC">
            <w:pPr>
              <w:jc w:val="both"/>
              <w:rPr>
                <w:rFonts w:hint="eastAsia" w:ascii="宋体" w:hAnsi="宋体" w:eastAsia="宋体" w:cs="宋体"/>
                <w:i w:val="0"/>
                <w:iCs w:val="0"/>
                <w:color w:val="000000"/>
                <w:sz w:val="22"/>
                <w:szCs w:val="22"/>
                <w:u w:val="none"/>
              </w:rPr>
            </w:pPr>
          </w:p>
        </w:tc>
      </w:tr>
      <w:tr w14:paraId="798AC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6" w:type="dxa"/>
            <w:vMerge w:val="continue"/>
            <w:tcBorders>
              <w:left w:val="single" w:color="000000" w:sz="4" w:space="0"/>
              <w:right w:val="single" w:color="000000" w:sz="4" w:space="0"/>
            </w:tcBorders>
            <w:shd w:val="clear" w:color="auto" w:fill="auto"/>
            <w:noWrap/>
            <w:vAlign w:val="center"/>
          </w:tcPr>
          <w:p w14:paraId="67147FB7">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721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19</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B9D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型钢厂</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C0A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小型成品库至小型新精整线</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991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元/吨</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3054">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1.87</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8BF8">
            <w:pPr>
              <w:jc w:val="both"/>
              <w:rPr>
                <w:rFonts w:hint="eastAsia" w:ascii="宋体" w:hAnsi="宋体" w:eastAsia="宋体" w:cs="宋体"/>
                <w:i w:val="0"/>
                <w:iCs w:val="0"/>
                <w:color w:val="000000"/>
                <w:sz w:val="22"/>
                <w:szCs w:val="22"/>
                <w:u w:val="none"/>
              </w:rPr>
            </w:pPr>
          </w:p>
        </w:tc>
      </w:tr>
      <w:tr w14:paraId="674B6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6" w:type="dxa"/>
            <w:vMerge w:val="continue"/>
            <w:tcBorders>
              <w:left w:val="single" w:color="000000" w:sz="4" w:space="0"/>
              <w:right w:val="single" w:color="000000" w:sz="4" w:space="0"/>
            </w:tcBorders>
            <w:shd w:val="clear" w:color="auto" w:fill="auto"/>
            <w:noWrap/>
            <w:vAlign w:val="center"/>
          </w:tcPr>
          <w:p w14:paraId="286A3187">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056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8DD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型钢厂</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C0A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小型新精整线至储配站</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B6C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元/吨</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D7A2">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5.49</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8D1A">
            <w:pPr>
              <w:jc w:val="both"/>
              <w:rPr>
                <w:rFonts w:hint="eastAsia" w:ascii="宋体" w:hAnsi="宋体" w:eastAsia="宋体" w:cs="宋体"/>
                <w:i w:val="0"/>
                <w:iCs w:val="0"/>
                <w:color w:val="000000"/>
                <w:sz w:val="22"/>
                <w:szCs w:val="22"/>
                <w:u w:val="none"/>
              </w:rPr>
            </w:pPr>
          </w:p>
        </w:tc>
      </w:tr>
      <w:tr w14:paraId="099F4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6" w:type="dxa"/>
            <w:vMerge w:val="continue"/>
            <w:tcBorders>
              <w:left w:val="single" w:color="000000" w:sz="4" w:space="0"/>
              <w:right w:val="single" w:color="000000" w:sz="4" w:space="0"/>
            </w:tcBorders>
            <w:shd w:val="clear" w:color="auto" w:fill="auto"/>
            <w:noWrap/>
            <w:vAlign w:val="center"/>
          </w:tcPr>
          <w:p w14:paraId="65CCE236">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8F1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5BE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型钢厂</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51B6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异型成品库至小型精整线</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6C3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元/吨</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8A63">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5.09</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C27C">
            <w:pPr>
              <w:jc w:val="both"/>
              <w:rPr>
                <w:rFonts w:hint="eastAsia" w:ascii="宋体" w:hAnsi="宋体" w:eastAsia="宋体" w:cs="宋体"/>
                <w:i w:val="0"/>
                <w:iCs w:val="0"/>
                <w:color w:val="000000"/>
                <w:sz w:val="22"/>
                <w:szCs w:val="22"/>
                <w:u w:val="none"/>
              </w:rPr>
            </w:pPr>
          </w:p>
        </w:tc>
      </w:tr>
      <w:tr w14:paraId="47AB4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6" w:type="dxa"/>
            <w:vMerge w:val="continue"/>
            <w:tcBorders>
              <w:left w:val="single" w:color="000000" w:sz="4" w:space="0"/>
              <w:bottom w:val="single" w:color="000000" w:sz="4" w:space="0"/>
              <w:right w:val="single" w:color="000000" w:sz="4" w:space="0"/>
            </w:tcBorders>
            <w:shd w:val="clear" w:color="auto" w:fill="auto"/>
            <w:noWrap/>
            <w:vAlign w:val="center"/>
          </w:tcPr>
          <w:p w14:paraId="3D41985B">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12D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FAFA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型钢厂</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B93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中型成品库-窄带新精整线</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1A4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元/吨</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40D9">
            <w:pPr>
              <w:keepNext w:val="0"/>
              <w:keepLines w:val="0"/>
              <w:widowControl/>
              <w:suppressLineNumbers w:val="0"/>
              <w:jc w:val="center"/>
              <w:textAlignment w:val="center"/>
              <w:rPr>
                <w:rFonts w:hint="default"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2.03</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C4954">
            <w:pPr>
              <w:jc w:val="both"/>
              <w:rPr>
                <w:rFonts w:hint="eastAsia" w:ascii="宋体" w:hAnsi="宋体" w:eastAsia="宋体" w:cs="宋体"/>
                <w:i w:val="0"/>
                <w:iCs w:val="0"/>
                <w:color w:val="000000"/>
                <w:sz w:val="22"/>
                <w:szCs w:val="22"/>
                <w:u w:val="none"/>
              </w:rPr>
            </w:pPr>
          </w:p>
        </w:tc>
      </w:tr>
      <w:tr w14:paraId="35334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F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7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8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棒材厂</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93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火车材一轧、二轧龙门吊倒运</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B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元/吨</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6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E80D">
            <w:pPr>
              <w:rPr>
                <w:rFonts w:hint="eastAsia" w:ascii="宋体" w:hAnsi="宋体" w:eastAsia="宋体" w:cs="宋体"/>
                <w:i w:val="0"/>
                <w:iCs w:val="0"/>
                <w:color w:val="000000"/>
                <w:sz w:val="22"/>
                <w:szCs w:val="22"/>
                <w:u w:val="none"/>
              </w:rPr>
            </w:pPr>
          </w:p>
        </w:tc>
      </w:tr>
      <w:tr w14:paraId="38A8C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E095">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D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8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棒材厂</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53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中小型车间至一轧、二轧车间</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E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元/吨</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9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5C32">
            <w:pPr>
              <w:rPr>
                <w:rFonts w:hint="eastAsia" w:ascii="宋体" w:hAnsi="宋体" w:eastAsia="宋体" w:cs="宋体"/>
                <w:i w:val="0"/>
                <w:iCs w:val="0"/>
                <w:color w:val="000000"/>
                <w:sz w:val="22"/>
                <w:szCs w:val="22"/>
                <w:u w:val="none"/>
              </w:rPr>
            </w:pPr>
          </w:p>
        </w:tc>
      </w:tr>
      <w:tr w14:paraId="2DC38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9B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B3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9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特钢厂</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BB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特钢新区-二站西</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0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元/吨</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4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78EF">
            <w:pPr>
              <w:rPr>
                <w:rFonts w:hint="eastAsia" w:ascii="宋体" w:hAnsi="宋体" w:eastAsia="宋体" w:cs="宋体"/>
                <w:i w:val="0"/>
                <w:iCs w:val="0"/>
                <w:color w:val="000000"/>
                <w:sz w:val="22"/>
                <w:szCs w:val="22"/>
                <w:u w:val="none"/>
              </w:rPr>
            </w:pPr>
          </w:p>
        </w:tc>
      </w:tr>
      <w:tr w14:paraId="2B4C8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DFF7">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F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0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特钢厂</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9F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特钢小棒-二站西</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0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元/吨</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C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15C2">
            <w:pPr>
              <w:rPr>
                <w:rFonts w:hint="eastAsia" w:ascii="宋体" w:hAnsi="宋体" w:eastAsia="宋体" w:cs="宋体"/>
                <w:i w:val="0"/>
                <w:iCs w:val="0"/>
                <w:color w:val="000000"/>
                <w:sz w:val="22"/>
                <w:szCs w:val="22"/>
                <w:u w:val="none"/>
              </w:rPr>
            </w:pPr>
          </w:p>
        </w:tc>
      </w:tr>
      <w:tr w14:paraId="2390E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1EA7">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0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2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特钢厂</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EB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特钢小棒车间至储运老区</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0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元/吨</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13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C7B6">
            <w:pPr>
              <w:rPr>
                <w:rFonts w:hint="eastAsia" w:ascii="宋体" w:hAnsi="宋体" w:eastAsia="宋体" w:cs="宋体"/>
                <w:i w:val="0"/>
                <w:iCs w:val="0"/>
                <w:color w:val="000000"/>
                <w:sz w:val="22"/>
                <w:szCs w:val="22"/>
                <w:u w:val="none"/>
              </w:rPr>
            </w:pPr>
          </w:p>
        </w:tc>
      </w:tr>
      <w:tr w14:paraId="31EA8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3D46">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6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C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特钢厂</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5F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特钢厂大棒车间至储运新区</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C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元/吨</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0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E9AB">
            <w:pPr>
              <w:rPr>
                <w:rFonts w:hint="eastAsia" w:ascii="宋体" w:hAnsi="宋体" w:eastAsia="宋体" w:cs="宋体"/>
                <w:i w:val="0"/>
                <w:iCs w:val="0"/>
                <w:color w:val="000000"/>
                <w:sz w:val="22"/>
                <w:szCs w:val="22"/>
                <w:u w:val="none"/>
              </w:rPr>
            </w:pPr>
          </w:p>
        </w:tc>
      </w:tr>
      <w:tr w14:paraId="1ED68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EA25">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A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D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特钢厂</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EB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特钢小棒车间至储运新区</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A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元/吨</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A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C9B1">
            <w:pPr>
              <w:rPr>
                <w:rFonts w:hint="eastAsia" w:ascii="宋体" w:hAnsi="宋体" w:eastAsia="宋体" w:cs="宋体"/>
                <w:i w:val="0"/>
                <w:iCs w:val="0"/>
                <w:color w:val="000000"/>
                <w:sz w:val="22"/>
                <w:szCs w:val="22"/>
                <w:u w:val="none"/>
              </w:rPr>
            </w:pPr>
          </w:p>
        </w:tc>
      </w:tr>
      <w:tr w14:paraId="4761B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E8EF">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F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E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特钢厂</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ED2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特钢中棒车间至中棒精整区</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A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元/吨</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1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45E6">
            <w:pPr>
              <w:rPr>
                <w:rFonts w:hint="eastAsia" w:ascii="宋体" w:hAnsi="宋体" w:eastAsia="宋体" w:cs="宋体"/>
                <w:i w:val="0"/>
                <w:iCs w:val="0"/>
                <w:color w:val="000000"/>
                <w:sz w:val="22"/>
                <w:szCs w:val="22"/>
                <w:u w:val="none"/>
              </w:rPr>
            </w:pPr>
          </w:p>
        </w:tc>
      </w:tr>
      <w:tr w14:paraId="3C1DC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BD67">
            <w:pPr>
              <w:jc w:val="center"/>
              <w:rPr>
                <w:rFonts w:hint="eastAsia" w:ascii="宋体" w:hAnsi="宋体" w:eastAsia="宋体" w:cs="宋体"/>
                <w:i w:val="0"/>
                <w:iCs w:val="0"/>
                <w:color w:val="000000"/>
                <w:sz w:val="22"/>
                <w:szCs w:val="22"/>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95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E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特钢厂</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B2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特钢中棒车间至储运老区</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D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元/吨</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53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481A1">
            <w:pPr>
              <w:rPr>
                <w:rFonts w:hint="eastAsia" w:ascii="宋体" w:hAnsi="宋体" w:eastAsia="宋体" w:cs="宋体"/>
                <w:i w:val="0"/>
                <w:iCs w:val="0"/>
                <w:color w:val="000000"/>
                <w:sz w:val="22"/>
                <w:szCs w:val="22"/>
                <w:u w:val="none"/>
              </w:rPr>
            </w:pPr>
          </w:p>
        </w:tc>
      </w:tr>
      <w:tr w14:paraId="4C103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3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2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报价不含税，报价到分，承兑结算。</w:t>
            </w:r>
          </w:p>
        </w:tc>
      </w:tr>
    </w:tbl>
    <w:p w14:paraId="2E9DB668"/>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ED52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0FF7FA">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14:paraId="4F0FF7F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278CA">
    <w:pPr>
      <w:pStyle w:val="4"/>
      <w:jc w:val="both"/>
      <w:rPr>
        <w:rFonts w:hint="eastAsia" w:ascii="楷体_GB2312" w:hAnsi="宋体" w:eastAsia="楷体_GB2312" w:cs="楷体_GB2312"/>
        <w:b/>
        <w:bCs/>
        <w:i/>
        <w:iCs/>
        <w:sz w:val="24"/>
        <w:szCs w:val="24"/>
        <w:lang w:eastAsia="zh-CN"/>
      </w:rPr>
    </w:pPr>
    <w:r>
      <w:rPr>
        <w:rFonts w:ascii="宋体"/>
        <w:b/>
        <w:bCs/>
        <w:sz w:val="36"/>
        <w:szCs w:val="36"/>
      </w:rPr>
      <w:drawing>
        <wp:inline distT="0" distB="0" distL="0" distR="0">
          <wp:extent cx="323850" cy="342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850" cy="342900"/>
                  </a:xfrm>
                  <a:prstGeom prst="rect">
                    <a:avLst/>
                  </a:prstGeom>
                  <a:noFill/>
                  <a:ln>
                    <a:noFill/>
                  </a:ln>
                </pic:spPr>
              </pic:pic>
            </a:graphicData>
          </a:graphic>
        </wp:inline>
      </w:drawing>
    </w:r>
    <w:r>
      <w:rPr>
        <w:rFonts w:hint="eastAsia" w:ascii="楷体_GB2312" w:hAnsi="宋体" w:eastAsia="楷体_GB2312" w:cs="楷体_GB2312"/>
        <w:b/>
        <w:bCs/>
        <w:i/>
        <w:iCs/>
        <w:sz w:val="24"/>
        <w:szCs w:val="24"/>
        <w:lang w:eastAsia="zh-CN"/>
      </w:rPr>
      <w:t>山东钢铁股份有限公司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628F3"/>
    <w:multiLevelType w:val="singleLevel"/>
    <w:tmpl w:val="999628F3"/>
    <w:lvl w:ilvl="0" w:tentative="0">
      <w:start w:val="9"/>
      <w:numFmt w:val="chineseCounting"/>
      <w:suff w:val="nothing"/>
      <w:lvlText w:val="%1．"/>
      <w:lvlJc w:val="left"/>
      <w:rPr>
        <w:rFonts w:hint="eastAsia"/>
      </w:rPr>
    </w:lvl>
  </w:abstractNum>
  <w:abstractNum w:abstractNumId="1">
    <w:nsid w:val="CAEC68D9"/>
    <w:multiLevelType w:val="singleLevel"/>
    <w:tmpl w:val="CAEC68D9"/>
    <w:lvl w:ilvl="0" w:tentative="0">
      <w:start w:val="4"/>
      <w:numFmt w:val="chineseCounting"/>
      <w:suff w:val="nothing"/>
      <w:lvlText w:val="%1、"/>
      <w:lvlJc w:val="left"/>
      <w:rPr>
        <w:rFonts w:hint="eastAsia"/>
      </w:rPr>
    </w:lvl>
  </w:abstractNum>
  <w:abstractNum w:abstractNumId="2">
    <w:nsid w:val="F8585B4E"/>
    <w:multiLevelType w:val="singleLevel"/>
    <w:tmpl w:val="F8585B4E"/>
    <w:lvl w:ilvl="0" w:tentative="0">
      <w:start w:val="1"/>
      <w:numFmt w:val="chineseCounting"/>
      <w:suff w:val="nothing"/>
      <w:lvlText w:val="（%1）"/>
      <w:lvlJc w:val="left"/>
      <w:pPr>
        <w:ind w:left="0" w:firstLine="420"/>
      </w:pPr>
      <w:rPr>
        <w:rFonts w:hint="eastAsia"/>
        <w:color w:val="auto"/>
      </w:rPr>
    </w:lvl>
  </w:abstractNum>
  <w:abstractNum w:abstractNumId="3">
    <w:nsid w:val="15C925D1"/>
    <w:multiLevelType w:val="singleLevel"/>
    <w:tmpl w:val="15C925D1"/>
    <w:lvl w:ilvl="0" w:tentative="0">
      <w:start w:val="1"/>
      <w:numFmt w:val="chineseCounting"/>
      <w:suff w:val="nothing"/>
      <w:lvlText w:val="（%1）"/>
      <w:lvlJc w:val="left"/>
      <w:pPr>
        <w:ind w:left="0" w:firstLine="420"/>
      </w:pPr>
      <w:rPr>
        <w:rFonts w:hint="eastAsia"/>
      </w:rPr>
    </w:lvl>
  </w:abstractNum>
  <w:abstractNum w:abstractNumId="4">
    <w:nsid w:val="44C8FD43"/>
    <w:multiLevelType w:val="singleLevel"/>
    <w:tmpl w:val="44C8FD43"/>
    <w:lvl w:ilvl="0" w:tentative="0">
      <w:start w:val="1"/>
      <w:numFmt w:val="chineseCounting"/>
      <w:suff w:val="nothing"/>
      <w:lvlText w:val="（%1）"/>
      <w:lvlJc w:val="left"/>
      <w:pPr>
        <w:ind w:left="0" w:firstLine="420"/>
      </w:pPr>
      <w:rPr>
        <w:rFonts w:hint="eastAsia"/>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0YTU4MmRhMGI1OTUzOGQ1ZWQ3NmJkODg3YWI5ZDMifQ=="/>
    <w:docVar w:name="KSO_WPS_MARK_KEY" w:val="145233f6-e48d-4582-b703-480fa929a35d"/>
  </w:docVars>
  <w:rsids>
    <w:rsidRoot w:val="00AD192E"/>
    <w:rsid w:val="00030EA3"/>
    <w:rsid w:val="00071809"/>
    <w:rsid w:val="000B4697"/>
    <w:rsid w:val="000F3092"/>
    <w:rsid w:val="000F404C"/>
    <w:rsid w:val="00104F8E"/>
    <w:rsid w:val="00121F8E"/>
    <w:rsid w:val="001337B6"/>
    <w:rsid w:val="00135475"/>
    <w:rsid w:val="00167ECD"/>
    <w:rsid w:val="0018346E"/>
    <w:rsid w:val="001A3C1B"/>
    <w:rsid w:val="001B091D"/>
    <w:rsid w:val="001B614D"/>
    <w:rsid w:val="001D1847"/>
    <w:rsid w:val="0022318B"/>
    <w:rsid w:val="00237644"/>
    <w:rsid w:val="0024423A"/>
    <w:rsid w:val="00261599"/>
    <w:rsid w:val="00272CEC"/>
    <w:rsid w:val="00296B12"/>
    <w:rsid w:val="002C5182"/>
    <w:rsid w:val="002C52E0"/>
    <w:rsid w:val="00314C07"/>
    <w:rsid w:val="0034331F"/>
    <w:rsid w:val="003531C1"/>
    <w:rsid w:val="00362D89"/>
    <w:rsid w:val="00364166"/>
    <w:rsid w:val="00374E43"/>
    <w:rsid w:val="00405A09"/>
    <w:rsid w:val="004265C9"/>
    <w:rsid w:val="0044373E"/>
    <w:rsid w:val="00444720"/>
    <w:rsid w:val="00453F1B"/>
    <w:rsid w:val="004559C2"/>
    <w:rsid w:val="00473737"/>
    <w:rsid w:val="00491C9F"/>
    <w:rsid w:val="00493E05"/>
    <w:rsid w:val="00496902"/>
    <w:rsid w:val="004E0FA8"/>
    <w:rsid w:val="004E457F"/>
    <w:rsid w:val="0052395C"/>
    <w:rsid w:val="00581B5C"/>
    <w:rsid w:val="005935EA"/>
    <w:rsid w:val="005C5B19"/>
    <w:rsid w:val="005E33C2"/>
    <w:rsid w:val="005E3962"/>
    <w:rsid w:val="005F14A0"/>
    <w:rsid w:val="005F273D"/>
    <w:rsid w:val="00633A02"/>
    <w:rsid w:val="00644CA4"/>
    <w:rsid w:val="006609AA"/>
    <w:rsid w:val="006707C0"/>
    <w:rsid w:val="00687254"/>
    <w:rsid w:val="00694853"/>
    <w:rsid w:val="006B06BB"/>
    <w:rsid w:val="006B443E"/>
    <w:rsid w:val="006B72A5"/>
    <w:rsid w:val="00705C9A"/>
    <w:rsid w:val="007140EA"/>
    <w:rsid w:val="00716E61"/>
    <w:rsid w:val="00725064"/>
    <w:rsid w:val="007278A5"/>
    <w:rsid w:val="00744D55"/>
    <w:rsid w:val="00753696"/>
    <w:rsid w:val="00762F4E"/>
    <w:rsid w:val="007A6481"/>
    <w:rsid w:val="007C6DA7"/>
    <w:rsid w:val="007E3E16"/>
    <w:rsid w:val="007E79CC"/>
    <w:rsid w:val="007F6C03"/>
    <w:rsid w:val="007F751C"/>
    <w:rsid w:val="008254B8"/>
    <w:rsid w:val="00853C6C"/>
    <w:rsid w:val="00855F14"/>
    <w:rsid w:val="008720EE"/>
    <w:rsid w:val="008C2E6B"/>
    <w:rsid w:val="008C4BFF"/>
    <w:rsid w:val="008D3A2C"/>
    <w:rsid w:val="00914939"/>
    <w:rsid w:val="0091635C"/>
    <w:rsid w:val="009229D4"/>
    <w:rsid w:val="009366F3"/>
    <w:rsid w:val="009441E5"/>
    <w:rsid w:val="00946B10"/>
    <w:rsid w:val="00953328"/>
    <w:rsid w:val="0096635D"/>
    <w:rsid w:val="0097439B"/>
    <w:rsid w:val="00990663"/>
    <w:rsid w:val="009D53D1"/>
    <w:rsid w:val="009D675C"/>
    <w:rsid w:val="009E6486"/>
    <w:rsid w:val="00A12820"/>
    <w:rsid w:val="00A24597"/>
    <w:rsid w:val="00A27CBC"/>
    <w:rsid w:val="00AA2B0B"/>
    <w:rsid w:val="00AD192E"/>
    <w:rsid w:val="00B006CC"/>
    <w:rsid w:val="00B17887"/>
    <w:rsid w:val="00B22117"/>
    <w:rsid w:val="00B25461"/>
    <w:rsid w:val="00B37130"/>
    <w:rsid w:val="00B463DA"/>
    <w:rsid w:val="00B51381"/>
    <w:rsid w:val="00B7539A"/>
    <w:rsid w:val="00BA5F51"/>
    <w:rsid w:val="00BE64B7"/>
    <w:rsid w:val="00BE6B41"/>
    <w:rsid w:val="00C32BBA"/>
    <w:rsid w:val="00C410BF"/>
    <w:rsid w:val="00C57636"/>
    <w:rsid w:val="00C75E25"/>
    <w:rsid w:val="00C90F7F"/>
    <w:rsid w:val="00CB493C"/>
    <w:rsid w:val="00D16F75"/>
    <w:rsid w:val="00D43596"/>
    <w:rsid w:val="00D50521"/>
    <w:rsid w:val="00D84158"/>
    <w:rsid w:val="00DA5B0E"/>
    <w:rsid w:val="00DB5EDD"/>
    <w:rsid w:val="00DD6269"/>
    <w:rsid w:val="00DE6AA5"/>
    <w:rsid w:val="00DF1221"/>
    <w:rsid w:val="00EA58D1"/>
    <w:rsid w:val="00EB6B25"/>
    <w:rsid w:val="00F0272B"/>
    <w:rsid w:val="00F03378"/>
    <w:rsid w:val="00F178E8"/>
    <w:rsid w:val="00F263B1"/>
    <w:rsid w:val="00F31398"/>
    <w:rsid w:val="00F329BA"/>
    <w:rsid w:val="00F73B43"/>
    <w:rsid w:val="00F82684"/>
    <w:rsid w:val="00FB40BC"/>
    <w:rsid w:val="00FC12F6"/>
    <w:rsid w:val="00FC69D1"/>
    <w:rsid w:val="00FD6672"/>
    <w:rsid w:val="01C765F0"/>
    <w:rsid w:val="025A721E"/>
    <w:rsid w:val="02C0753E"/>
    <w:rsid w:val="02C23E91"/>
    <w:rsid w:val="0342159F"/>
    <w:rsid w:val="034B752A"/>
    <w:rsid w:val="05E7509A"/>
    <w:rsid w:val="07B136FD"/>
    <w:rsid w:val="07C5140B"/>
    <w:rsid w:val="07E307EE"/>
    <w:rsid w:val="07E51AAD"/>
    <w:rsid w:val="07FB327D"/>
    <w:rsid w:val="087B6B7D"/>
    <w:rsid w:val="08B92A72"/>
    <w:rsid w:val="08D5146C"/>
    <w:rsid w:val="091E3C7D"/>
    <w:rsid w:val="099572CB"/>
    <w:rsid w:val="09A26F52"/>
    <w:rsid w:val="09D70476"/>
    <w:rsid w:val="0A3E699C"/>
    <w:rsid w:val="0ADA03CD"/>
    <w:rsid w:val="0AF53DB5"/>
    <w:rsid w:val="0C854C5A"/>
    <w:rsid w:val="0CE812F8"/>
    <w:rsid w:val="0D040A16"/>
    <w:rsid w:val="0D166265"/>
    <w:rsid w:val="0D3540D8"/>
    <w:rsid w:val="0E8243E0"/>
    <w:rsid w:val="0EAA5D7B"/>
    <w:rsid w:val="0F905512"/>
    <w:rsid w:val="10A35904"/>
    <w:rsid w:val="10C85199"/>
    <w:rsid w:val="10F439D7"/>
    <w:rsid w:val="113E04AD"/>
    <w:rsid w:val="13237403"/>
    <w:rsid w:val="13496AB7"/>
    <w:rsid w:val="138E5C77"/>
    <w:rsid w:val="139F605C"/>
    <w:rsid w:val="146969CE"/>
    <w:rsid w:val="148154C9"/>
    <w:rsid w:val="1490341E"/>
    <w:rsid w:val="14A07BA8"/>
    <w:rsid w:val="15244850"/>
    <w:rsid w:val="16442319"/>
    <w:rsid w:val="174F0B2D"/>
    <w:rsid w:val="1754372B"/>
    <w:rsid w:val="17B62B1E"/>
    <w:rsid w:val="17F14539"/>
    <w:rsid w:val="18192F28"/>
    <w:rsid w:val="183A6DF0"/>
    <w:rsid w:val="18A82B38"/>
    <w:rsid w:val="190F6AFC"/>
    <w:rsid w:val="198C7AA8"/>
    <w:rsid w:val="1A310A84"/>
    <w:rsid w:val="1AA62BD6"/>
    <w:rsid w:val="1AC43D7C"/>
    <w:rsid w:val="1BDA34E6"/>
    <w:rsid w:val="1C9255FA"/>
    <w:rsid w:val="1C9A47BD"/>
    <w:rsid w:val="1DDD1535"/>
    <w:rsid w:val="1E8478F8"/>
    <w:rsid w:val="1EC71E2C"/>
    <w:rsid w:val="1EEB7205"/>
    <w:rsid w:val="1F4D70C5"/>
    <w:rsid w:val="1F5228B0"/>
    <w:rsid w:val="1FE57DA9"/>
    <w:rsid w:val="1FFE5840"/>
    <w:rsid w:val="208C47B5"/>
    <w:rsid w:val="20EB6351"/>
    <w:rsid w:val="21E24427"/>
    <w:rsid w:val="2231313E"/>
    <w:rsid w:val="22924AD7"/>
    <w:rsid w:val="23427F43"/>
    <w:rsid w:val="24123963"/>
    <w:rsid w:val="246333BF"/>
    <w:rsid w:val="2485548D"/>
    <w:rsid w:val="24D4050D"/>
    <w:rsid w:val="2511243F"/>
    <w:rsid w:val="252B1E12"/>
    <w:rsid w:val="259C15A5"/>
    <w:rsid w:val="259F7486"/>
    <w:rsid w:val="25A4045A"/>
    <w:rsid w:val="269A3885"/>
    <w:rsid w:val="27250105"/>
    <w:rsid w:val="27E237D1"/>
    <w:rsid w:val="282651D9"/>
    <w:rsid w:val="288B5469"/>
    <w:rsid w:val="2A1316AD"/>
    <w:rsid w:val="2A496960"/>
    <w:rsid w:val="2AA92D5D"/>
    <w:rsid w:val="2B3C5003"/>
    <w:rsid w:val="2C16371A"/>
    <w:rsid w:val="2C1F69FF"/>
    <w:rsid w:val="2CB77449"/>
    <w:rsid w:val="2CE07833"/>
    <w:rsid w:val="2D845DAA"/>
    <w:rsid w:val="2DE7280C"/>
    <w:rsid w:val="2E54308E"/>
    <w:rsid w:val="2FC500E9"/>
    <w:rsid w:val="2FCE3C64"/>
    <w:rsid w:val="2FE20116"/>
    <w:rsid w:val="30492E8D"/>
    <w:rsid w:val="30DC6671"/>
    <w:rsid w:val="31994819"/>
    <w:rsid w:val="31D30DED"/>
    <w:rsid w:val="31D96291"/>
    <w:rsid w:val="32777DF9"/>
    <w:rsid w:val="334A24AB"/>
    <w:rsid w:val="342471D1"/>
    <w:rsid w:val="346B7135"/>
    <w:rsid w:val="35631D7E"/>
    <w:rsid w:val="358D3AE5"/>
    <w:rsid w:val="35992F74"/>
    <w:rsid w:val="35D54A05"/>
    <w:rsid w:val="366E54E2"/>
    <w:rsid w:val="368F21DC"/>
    <w:rsid w:val="378D3D48"/>
    <w:rsid w:val="398970D1"/>
    <w:rsid w:val="39A24AC4"/>
    <w:rsid w:val="39EC2FE9"/>
    <w:rsid w:val="3A04583F"/>
    <w:rsid w:val="3AE55345"/>
    <w:rsid w:val="3BE13D5E"/>
    <w:rsid w:val="3BE35A39"/>
    <w:rsid w:val="3C0A12C4"/>
    <w:rsid w:val="3C4E09CA"/>
    <w:rsid w:val="40932855"/>
    <w:rsid w:val="41A05E3B"/>
    <w:rsid w:val="41FC5B3C"/>
    <w:rsid w:val="425377A7"/>
    <w:rsid w:val="42DB5EB0"/>
    <w:rsid w:val="42E037C7"/>
    <w:rsid w:val="43CB0943"/>
    <w:rsid w:val="43E02A79"/>
    <w:rsid w:val="443309A5"/>
    <w:rsid w:val="446E496C"/>
    <w:rsid w:val="45F82663"/>
    <w:rsid w:val="468B1A7C"/>
    <w:rsid w:val="472A058D"/>
    <w:rsid w:val="48014627"/>
    <w:rsid w:val="484E1BB5"/>
    <w:rsid w:val="49197611"/>
    <w:rsid w:val="493604FC"/>
    <w:rsid w:val="4AD1653B"/>
    <w:rsid w:val="4B9A0588"/>
    <w:rsid w:val="4C942A2A"/>
    <w:rsid w:val="4D135D42"/>
    <w:rsid w:val="4DBD7DA6"/>
    <w:rsid w:val="4E8362B0"/>
    <w:rsid w:val="504155F5"/>
    <w:rsid w:val="51356E98"/>
    <w:rsid w:val="52191075"/>
    <w:rsid w:val="52AF45C8"/>
    <w:rsid w:val="53782BBE"/>
    <w:rsid w:val="538928BA"/>
    <w:rsid w:val="53BD096B"/>
    <w:rsid w:val="53D162AE"/>
    <w:rsid w:val="546772C9"/>
    <w:rsid w:val="568B1031"/>
    <w:rsid w:val="57010A89"/>
    <w:rsid w:val="576A4E2D"/>
    <w:rsid w:val="57957EB3"/>
    <w:rsid w:val="58D04409"/>
    <w:rsid w:val="597F02FD"/>
    <w:rsid w:val="5B1C7735"/>
    <w:rsid w:val="5C645504"/>
    <w:rsid w:val="5C93212C"/>
    <w:rsid w:val="5CE32E5B"/>
    <w:rsid w:val="5CE43ED8"/>
    <w:rsid w:val="5D30364C"/>
    <w:rsid w:val="5D661CFB"/>
    <w:rsid w:val="5F066136"/>
    <w:rsid w:val="5F1E484E"/>
    <w:rsid w:val="5F535345"/>
    <w:rsid w:val="60395E7B"/>
    <w:rsid w:val="603D6F06"/>
    <w:rsid w:val="60B5352F"/>
    <w:rsid w:val="62522A10"/>
    <w:rsid w:val="62F53CCE"/>
    <w:rsid w:val="643D2A1D"/>
    <w:rsid w:val="65B80913"/>
    <w:rsid w:val="66BC3C16"/>
    <w:rsid w:val="66F80C8A"/>
    <w:rsid w:val="68510FD8"/>
    <w:rsid w:val="695D4175"/>
    <w:rsid w:val="6A2070F2"/>
    <w:rsid w:val="6A9407E5"/>
    <w:rsid w:val="6AB96048"/>
    <w:rsid w:val="6ABF7C8E"/>
    <w:rsid w:val="6AD4522E"/>
    <w:rsid w:val="6AF40B09"/>
    <w:rsid w:val="6B6B024B"/>
    <w:rsid w:val="6B837F39"/>
    <w:rsid w:val="6BD65AEE"/>
    <w:rsid w:val="6CA470A9"/>
    <w:rsid w:val="6D687B24"/>
    <w:rsid w:val="6E6370C2"/>
    <w:rsid w:val="6EA46C8A"/>
    <w:rsid w:val="6EB953E3"/>
    <w:rsid w:val="6EE1398B"/>
    <w:rsid w:val="6F97461D"/>
    <w:rsid w:val="6FED524D"/>
    <w:rsid w:val="738A60AF"/>
    <w:rsid w:val="743B6FA2"/>
    <w:rsid w:val="751F2436"/>
    <w:rsid w:val="76446C05"/>
    <w:rsid w:val="769112DF"/>
    <w:rsid w:val="7711206E"/>
    <w:rsid w:val="77706F73"/>
    <w:rsid w:val="77FB1720"/>
    <w:rsid w:val="78925885"/>
    <w:rsid w:val="798112FD"/>
    <w:rsid w:val="79861CC2"/>
    <w:rsid w:val="79A41D38"/>
    <w:rsid w:val="79C32630"/>
    <w:rsid w:val="79C8388C"/>
    <w:rsid w:val="7B0018DF"/>
    <w:rsid w:val="7B205B42"/>
    <w:rsid w:val="7B645D3B"/>
    <w:rsid w:val="7BD51D02"/>
    <w:rsid w:val="7BFF6A02"/>
    <w:rsid w:val="7CED6F06"/>
    <w:rsid w:val="7D2232B3"/>
    <w:rsid w:val="7EA22E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37"/>
    <w:semiHidden/>
    <w:unhideWhenUsed/>
    <w:qFormat/>
    <w:uiPriority w:val="99"/>
    <w:rPr>
      <w:sz w:val="18"/>
      <w:szCs w:val="18"/>
    </w:rPr>
  </w:style>
  <w:style w:type="paragraph" w:styleId="3">
    <w:name w:val="footer"/>
    <w:basedOn w:val="1"/>
    <w:link w:val="18"/>
    <w:unhideWhenUsed/>
    <w:qFormat/>
    <w:uiPriority w:val="99"/>
    <w:pPr>
      <w:tabs>
        <w:tab w:val="center" w:pos="4153"/>
        <w:tab w:val="right" w:pos="8306"/>
      </w:tabs>
      <w:snapToGrid w:val="0"/>
      <w:jc w:val="left"/>
    </w:pPr>
    <w:rPr>
      <w:sz w:val="18"/>
      <w:szCs w:val="18"/>
    </w:rPr>
  </w:style>
  <w:style w:type="paragraph" w:styleId="4">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style>
  <w:style w:type="character" w:styleId="10">
    <w:name w:val="FollowedHyperlink"/>
    <w:basedOn w:val="8"/>
    <w:semiHidden/>
    <w:unhideWhenUsed/>
    <w:qFormat/>
    <w:uiPriority w:val="99"/>
    <w:rPr>
      <w:color w:val="0066CC"/>
      <w:u w:val="none"/>
    </w:rPr>
  </w:style>
  <w:style w:type="character" w:styleId="11">
    <w:name w:val="Emphasis"/>
    <w:basedOn w:val="8"/>
    <w:qFormat/>
    <w:uiPriority w:val="20"/>
  </w:style>
  <w:style w:type="character" w:styleId="12">
    <w:name w:val="HTML Definition"/>
    <w:basedOn w:val="8"/>
    <w:semiHidden/>
    <w:unhideWhenUsed/>
    <w:qFormat/>
    <w:uiPriority w:val="99"/>
  </w:style>
  <w:style w:type="character" w:styleId="13">
    <w:name w:val="HTML Variable"/>
    <w:basedOn w:val="8"/>
    <w:semiHidden/>
    <w:unhideWhenUsed/>
    <w:qFormat/>
    <w:uiPriority w:val="99"/>
  </w:style>
  <w:style w:type="character" w:styleId="14">
    <w:name w:val="Hyperlink"/>
    <w:basedOn w:val="8"/>
    <w:qFormat/>
    <w:uiPriority w:val="99"/>
    <w:rPr>
      <w:color w:val="0066CC"/>
      <w:u w:val="none"/>
    </w:rPr>
  </w:style>
  <w:style w:type="character" w:styleId="15">
    <w:name w:val="HTML Code"/>
    <w:basedOn w:val="8"/>
    <w:semiHidden/>
    <w:unhideWhenUsed/>
    <w:qFormat/>
    <w:uiPriority w:val="99"/>
    <w:rPr>
      <w:rFonts w:ascii="Courier New" w:hAnsi="Courier New"/>
      <w:sz w:val="20"/>
    </w:rPr>
  </w:style>
  <w:style w:type="character" w:styleId="16">
    <w:name w:val="HTML Cite"/>
    <w:basedOn w:val="8"/>
    <w:semiHidden/>
    <w:unhideWhenUsed/>
    <w:qFormat/>
    <w:uiPriority w:val="99"/>
  </w:style>
  <w:style w:type="character" w:customStyle="1" w:styleId="17">
    <w:name w:val="页眉 Char"/>
    <w:basedOn w:val="8"/>
    <w:link w:val="4"/>
    <w:qFormat/>
    <w:uiPriority w:val="0"/>
    <w:rPr>
      <w:rFonts w:ascii="Calibri" w:hAnsi="Calibri" w:eastAsia="宋体" w:cs="Times New Roman"/>
      <w:sz w:val="18"/>
      <w:szCs w:val="18"/>
    </w:rPr>
  </w:style>
  <w:style w:type="character" w:customStyle="1" w:styleId="18">
    <w:name w:val="页脚 Char"/>
    <w:basedOn w:val="8"/>
    <w:link w:val="3"/>
    <w:qFormat/>
    <w:uiPriority w:val="99"/>
    <w:rPr>
      <w:rFonts w:ascii="Calibri" w:hAnsi="Calibri" w:eastAsia="宋体" w:cs="Times New Roman"/>
      <w:sz w:val="18"/>
      <w:szCs w:val="18"/>
    </w:rPr>
  </w:style>
  <w:style w:type="paragraph" w:styleId="19">
    <w:name w:val="List Paragraph"/>
    <w:basedOn w:val="1"/>
    <w:qFormat/>
    <w:uiPriority w:val="34"/>
    <w:pPr>
      <w:ind w:firstLine="420" w:firstLineChars="200"/>
    </w:pPr>
  </w:style>
  <w:style w:type="paragraph" w:customStyle="1" w:styleId="20">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21">
    <w:name w:val="font0"/>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22">
    <w:name w:val="font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23">
    <w:name w:val="font2"/>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24">
    <w:name w:val="font3"/>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25">
    <w:name w:val="font4"/>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26">
    <w:name w:val="et2"/>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27">
    <w:name w:val="et3"/>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28">
    <w:name w:val="et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9">
    <w:name w:val="et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0">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rPr>
  </w:style>
  <w:style w:type="paragraph" w:customStyle="1" w:styleId="31">
    <w:name w:val="et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4"/>
    </w:rPr>
  </w:style>
  <w:style w:type="paragraph" w:customStyle="1" w:styleId="32">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rPr>
  </w:style>
  <w:style w:type="paragraph" w:customStyle="1" w:styleId="33">
    <w:name w:val="et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2"/>
      <w:szCs w:val="22"/>
    </w:rPr>
  </w:style>
  <w:style w:type="paragraph" w:customStyle="1" w:styleId="34">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35">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36">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character" w:customStyle="1" w:styleId="37">
    <w:name w:val="批注框文本 Char"/>
    <w:basedOn w:val="8"/>
    <w:link w:val="2"/>
    <w:semiHidden/>
    <w:qFormat/>
    <w:uiPriority w:val="99"/>
    <w:rPr>
      <w:rFonts w:ascii="Calibri" w:hAnsi="Calibri"/>
      <w:kern w:val="2"/>
      <w:sz w:val="18"/>
      <w:szCs w:val="18"/>
    </w:rPr>
  </w:style>
  <w:style w:type="character" w:customStyle="1" w:styleId="38">
    <w:name w:val="uploadify-button-text"/>
    <w:basedOn w:val="8"/>
    <w:qFormat/>
    <w:uiPriority w:val="0"/>
  </w:style>
  <w:style w:type="character" w:customStyle="1" w:styleId="39">
    <w:name w:val="inside-toolbar"/>
    <w:basedOn w:val="8"/>
    <w:qFormat/>
    <w:uiPriority w:val="0"/>
  </w:style>
  <w:style w:type="character" w:customStyle="1" w:styleId="40">
    <w:name w:val="signin"/>
    <w:basedOn w:val="8"/>
    <w:qFormat/>
    <w:uiPriority w:val="0"/>
  </w:style>
  <w:style w:type="character" w:customStyle="1" w:styleId="41">
    <w:name w:val="not-empty"/>
    <w:basedOn w:val="8"/>
    <w:qFormat/>
    <w:uiPriority w:val="0"/>
  </w:style>
  <w:style w:type="character" w:customStyle="1" w:styleId="42">
    <w:name w:val="number10"/>
    <w:basedOn w:val="8"/>
    <w:qFormat/>
    <w:uiPriority w:val="0"/>
    <w:rPr>
      <w:color w:val="FFFFFF"/>
    </w:rPr>
  </w:style>
  <w:style w:type="character" w:customStyle="1" w:styleId="43">
    <w:name w:val="number11"/>
    <w:basedOn w:val="8"/>
    <w:qFormat/>
    <w:uiPriority w:val="0"/>
    <w:rPr>
      <w:rFonts w:ascii="Arial" w:hAnsi="Arial" w:cs="Arial"/>
      <w:color w:val="AAAAAA"/>
      <w:sz w:val="16"/>
      <w:szCs w:val="16"/>
    </w:rPr>
  </w:style>
  <w:style w:type="character" w:customStyle="1" w:styleId="44">
    <w:name w:val="number12"/>
    <w:basedOn w:val="8"/>
    <w:qFormat/>
    <w:uiPriority w:val="0"/>
  </w:style>
  <w:style w:type="character" w:customStyle="1" w:styleId="45">
    <w:name w:val="number13"/>
    <w:basedOn w:val="8"/>
    <w:qFormat/>
    <w:uiPriority w:val="0"/>
    <w:rPr>
      <w:color w:val="CCCCCC"/>
    </w:rPr>
  </w:style>
  <w:style w:type="character" w:customStyle="1" w:styleId="46">
    <w:name w:val="number14"/>
    <w:basedOn w:val="8"/>
    <w:qFormat/>
    <w:uiPriority w:val="0"/>
    <w:rPr>
      <w:sz w:val="16"/>
      <w:szCs w:val="16"/>
    </w:rPr>
  </w:style>
  <w:style w:type="character" w:customStyle="1" w:styleId="47">
    <w:name w:val="l-btn-left"/>
    <w:basedOn w:val="8"/>
    <w:qFormat/>
    <w:uiPriority w:val="0"/>
  </w:style>
  <w:style w:type="character" w:customStyle="1" w:styleId="48">
    <w:name w:val="l-btn-left1"/>
    <w:basedOn w:val="8"/>
    <w:qFormat/>
    <w:uiPriority w:val="0"/>
  </w:style>
  <w:style w:type="character" w:customStyle="1" w:styleId="49">
    <w:name w:val="l-btn-left2"/>
    <w:basedOn w:val="8"/>
    <w:qFormat/>
    <w:uiPriority w:val="0"/>
  </w:style>
  <w:style w:type="character" w:customStyle="1" w:styleId="50">
    <w:name w:val="l-btn-left3"/>
    <w:basedOn w:val="8"/>
    <w:qFormat/>
    <w:uiPriority w:val="0"/>
  </w:style>
  <w:style w:type="character" w:customStyle="1" w:styleId="51">
    <w:name w:val="l-btn-left4"/>
    <w:basedOn w:val="8"/>
    <w:qFormat/>
    <w:uiPriority w:val="0"/>
  </w:style>
  <w:style w:type="character" w:customStyle="1" w:styleId="52">
    <w:name w:val="active10"/>
    <w:basedOn w:val="8"/>
    <w:qFormat/>
    <w:uiPriority w:val="0"/>
  </w:style>
  <w:style w:type="character" w:customStyle="1" w:styleId="53">
    <w:name w:val="l-btn-text8"/>
    <w:basedOn w:val="8"/>
    <w:qFormat/>
    <w:uiPriority w:val="0"/>
  </w:style>
  <w:style w:type="character" w:customStyle="1" w:styleId="54">
    <w:name w:val="l-btn-text9"/>
    <w:basedOn w:val="8"/>
    <w:qFormat/>
    <w:uiPriority w:val="0"/>
    <w:rPr>
      <w:sz w:val="18"/>
      <w:szCs w:val="18"/>
    </w:rPr>
  </w:style>
  <w:style w:type="character" w:customStyle="1" w:styleId="55">
    <w:name w:val="l-btn-icon-left"/>
    <w:basedOn w:val="8"/>
    <w:qFormat/>
    <w:uiPriority w:val="0"/>
  </w:style>
  <w:style w:type="character" w:customStyle="1" w:styleId="56">
    <w:name w:val="l-btn-icon-right"/>
    <w:basedOn w:val="8"/>
    <w:qFormat/>
    <w:uiPriority w:val="0"/>
  </w:style>
  <w:style w:type="character" w:customStyle="1" w:styleId="57">
    <w:name w:val="l-btn-empty"/>
    <w:basedOn w:val="8"/>
    <w:qFormat/>
    <w:uiPriority w:val="0"/>
  </w:style>
  <w:style w:type="character" w:customStyle="1" w:styleId="58">
    <w:name w:val="not-empty2"/>
    <w:basedOn w:val="8"/>
    <w:qFormat/>
    <w:uiPriority w:val="0"/>
  </w:style>
  <w:style w:type="character" w:customStyle="1" w:styleId="59">
    <w:name w:val="inside-toolbar6"/>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LG</Company>
  <Pages>8</Pages>
  <Words>3325</Words>
  <Characters>3624</Characters>
  <Lines>28</Lines>
  <Paragraphs>8</Paragraphs>
  <TotalTime>68</TotalTime>
  <ScaleCrop>false</ScaleCrop>
  <LinksUpToDate>false</LinksUpToDate>
  <CharactersWithSpaces>3658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2020-06-12T11:36:00Z</dcterms:created>
  <dc:creator>宋文杰</dc:creator>
  <cp:lastModifiedBy>Administrator</cp:lastModifiedBy>
  <cp:lastPrinted>2022-01-07T06:57:00Z</cp:lastPrinted>
  <dcterms:modified xsi:type="dcterms:W3CDTF">2025-12-09T07:15:00Z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1DC26BB3314248E28096CF038CF1F156_13</vt:lpwstr>
  </property>
  <property fmtid="{D5CDD505-2E9C-101B-9397-08002B2CF9AE}" pid="4" name="KSOTemplateDocerSaveRecord">
    <vt:lpwstr>eyJoZGlkIjoiZjYyMmU1MWQwOTU0ODA0ZGFlY2JmMGI4YmM0NjI2ZWUiLCJ1c2VySWQiOiIzODcyODk2MDkifQ==</vt:lpwstr>
  </property>
</Properties>
</file>