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  <w:t>山东新一代标准化研究院有限公司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  <w:t>省级行业大模型项目申报辅助服务AI251225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  <w:t>19185225122596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  <w:t>省级行业大模型项目申报辅助服务AI251225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607"/>
        <w:gridCol w:w="3112"/>
        <w:gridCol w:w="575"/>
        <w:gridCol w:w="763"/>
        <w:gridCol w:w="800"/>
        <w:gridCol w:w="95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服务期</w:t>
            </w: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省级行业大模型申报辅助服务</w:t>
            </w:r>
          </w:p>
        </w:tc>
        <w:tc>
          <w:tcPr>
            <w:tcW w:w="1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2025年度山东省省级行业大模型申报全流程服务，负责项目申报材料整理、自主知识产权梳理、模型参数规模和数据精度整理、运行效果数据整理等服务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宗</w:t>
            </w:r>
          </w:p>
        </w:tc>
        <w:tc>
          <w:tcPr>
            <w:tcW w:w="3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济南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2026-1-30前</w:t>
            </w: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王岩，联系方式：15628826908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联系人：鲍广荣/贺晓雪  0531-76923296  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s56054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/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孙立伟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1F8EEC4-FAB0-4C4C-852F-32254886A3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1E3003-31F4-4D1D-B60D-1534C18EAF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44FC634-3CF1-4146-88D5-4037BB308ED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AE5849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6F0FE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896D2E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10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孙立伟.</cp:lastModifiedBy>
  <cp:lastPrinted>2021-11-25T02:37:00Z</cp:lastPrinted>
  <dcterms:modified xsi:type="dcterms:W3CDTF">2025-12-26T05:40:53Z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