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戴尔（中国）有限公司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台式机、显示器等采购251227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outlineLvl w:val="1"/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spacing w:val="-2"/>
          <w:sz w:val="28"/>
          <w:szCs w:val="28"/>
          <w:highlight w:val="none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u w:val="single"/>
          <w:lang w:val="en-US" w:eastAsia="zh-CN"/>
        </w:rPr>
        <w:t>19185225122697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</w:rPr>
        <w:t>台式机、显示器等采购251227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kern w:val="0"/>
          <w:sz w:val="28"/>
          <w:szCs w:val="28"/>
          <w:highlight w:val="none"/>
          <w:lang w:val="en-US" w:eastAsia="zh-CN"/>
        </w:rPr>
        <w:t>二、采购内容：具体内容详见下表。</w:t>
      </w:r>
    </w:p>
    <w:tbl>
      <w:tblPr>
        <w:tblStyle w:val="24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1607"/>
        <w:gridCol w:w="3112"/>
        <w:gridCol w:w="575"/>
        <w:gridCol w:w="763"/>
        <w:gridCol w:w="800"/>
        <w:gridCol w:w="950"/>
        <w:gridCol w:w="1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79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5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8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3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831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792" w:type="pct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台式机</w:t>
            </w:r>
          </w:p>
        </w:tc>
        <w:tc>
          <w:tcPr>
            <w:tcW w:w="1533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DELL Pro Tower QCT 1250；i5-14500,16GX2.512g+2T,win11家庭，三年服务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台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10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联系人：孙立伟，联系方式：15853178055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792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台式机</w:t>
            </w:r>
          </w:p>
        </w:tc>
        <w:tc>
          <w:tcPr>
            <w:tcW w:w="1533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DELL Pro Tower QCT 1250；i5-14500,16GX2.1T固态+2T，win11家庭，三年服务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台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190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1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792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显示器</w:t>
            </w:r>
          </w:p>
        </w:tc>
        <w:tc>
          <w:tcPr>
            <w:tcW w:w="1533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台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100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1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792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显示器</w:t>
            </w:r>
          </w:p>
        </w:tc>
        <w:tc>
          <w:tcPr>
            <w:tcW w:w="1533" w:type="pc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83" w:type="pc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台</w:t>
            </w:r>
          </w:p>
        </w:tc>
        <w:tc>
          <w:tcPr>
            <w:tcW w:w="376" w:type="pct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100</w:t>
            </w:r>
          </w:p>
        </w:tc>
        <w:tc>
          <w:tcPr>
            <w:tcW w:w="394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68" w:type="pct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1" w:type="pct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textAlignment w:val="bottom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jc w:val="left"/>
        <w:textAlignment w:val="baseline"/>
        <w:outlineLvl w:val="1"/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lang w:val="en-US" w:eastAsia="zh-CN" w:bidi="ar-SA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http://bams.shansteelgroup.com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人须在公告期内登陆网址：http://bams.shansteelgroup.com进行用户注册，注册成功后须修改初始密码，注册信息经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可以直接登陆网址：http://bams.shansteelgroup.com后可以下载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联系人：贺晓雪  0531-67606213</w:t>
      </w:r>
    </w:p>
    <w:p>
      <w:pPr>
        <w:pStyle w:val="53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separate"/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s56053</w:t>
      </w:r>
      <w:r>
        <w:rPr>
          <w:rStyle w:val="28"/>
          <w:rFonts w:hint="eastAsia" w:ascii="仿宋_GB2312" w:hAnsi="仿宋_GB2312" w:eastAsia="仿宋_GB2312" w:cs="仿宋_GB2312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sz w:val="28"/>
          <w:szCs w:val="28"/>
          <w:lang w:val="zh-CN"/>
        </w:rPr>
        <w:fldChar w:fldCharType="end"/>
      </w:r>
    </w:p>
    <w:p>
      <w:pPr>
        <w:pStyle w:val="53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孙立伟</w:t>
      </w:r>
    </w:p>
    <w:p>
      <w:pPr>
        <w:pStyle w:val="53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技术联系人：详见第二部分 采购内容 联系人及电话。</w:t>
      </w:r>
    </w:p>
    <w:p>
      <w:pPr>
        <w:pStyle w:val="53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192B6BF-5348-4EA6-BCE3-AD7544182BE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B0192DD-CC9A-446C-B829-F27F7781BB9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31A0F038-ACD8-48D4-8E24-5F501A94B30B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91467A"/>
    <w:rsid w:val="0CBD0134"/>
    <w:rsid w:val="0CC64C38"/>
    <w:rsid w:val="0CFD0F4B"/>
    <w:rsid w:val="0D067763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A2770B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AE5849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61C24"/>
    <w:rsid w:val="22C24A6D"/>
    <w:rsid w:val="23256DAA"/>
    <w:rsid w:val="232B0864"/>
    <w:rsid w:val="2389771B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6F0FE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154BEF"/>
    <w:rsid w:val="591A5DA5"/>
    <w:rsid w:val="59253CA8"/>
    <w:rsid w:val="596A1F5F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110A07"/>
    <w:rsid w:val="7E22507B"/>
    <w:rsid w:val="7E5A40DD"/>
    <w:rsid w:val="7E745D91"/>
    <w:rsid w:val="7E834226"/>
    <w:rsid w:val="7E896D2E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5">
    <w:name w:val="Default Paragraph Font"/>
    <w:semiHidden/>
    <w:unhideWhenUsed/>
    <w:qFormat/>
    <w:uiPriority w:val="1"/>
  </w:style>
  <w:style w:type="table" w:default="1" w:styleId="2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4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4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2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4">
    <w:name w:val="Table Grid"/>
    <w:basedOn w:val="23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6">
    <w:name w:val="page number"/>
    <w:basedOn w:val="25"/>
    <w:qFormat/>
    <w:uiPriority w:val="0"/>
    <w:rPr>
      <w:rFonts w:asciiTheme="minorHAnsi" w:hAnsiTheme="minorHAnsi" w:eastAsiaTheme="minorEastAsia" w:cstheme="minorBidi"/>
    </w:rPr>
  </w:style>
  <w:style w:type="character" w:styleId="27">
    <w:name w:val="FollowedHyperlink"/>
    <w:basedOn w:val="25"/>
    <w:unhideWhenUsed/>
    <w:qFormat/>
    <w:uiPriority w:val="99"/>
    <w:rPr>
      <w:color w:val="4371B7"/>
      <w:u w:val="single"/>
    </w:rPr>
  </w:style>
  <w:style w:type="character" w:styleId="28">
    <w:name w:val="Hyperlink"/>
    <w:basedOn w:val="2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9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customStyle="1" w:styleId="30">
    <w:name w:val="NormalCharacter"/>
    <w:qFormat/>
    <w:uiPriority w:val="99"/>
  </w:style>
  <w:style w:type="character" w:customStyle="1" w:styleId="31">
    <w:name w:val="UserStyle_8"/>
    <w:link w:val="32"/>
    <w:qFormat/>
    <w:locked/>
    <w:uiPriority w:val="99"/>
    <w:rPr>
      <w:rFonts w:ascii="宋体" w:hAnsi="Courier New" w:eastAsia="宋体"/>
    </w:rPr>
  </w:style>
  <w:style w:type="paragraph" w:customStyle="1" w:styleId="32">
    <w:name w:val="PlainText"/>
    <w:basedOn w:val="1"/>
    <w:link w:val="31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3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4">
    <w:name w:val="批注文字 Char"/>
    <w:basedOn w:val="25"/>
    <w:link w:val="10"/>
    <w:semiHidden/>
    <w:qFormat/>
    <w:uiPriority w:val="99"/>
  </w:style>
  <w:style w:type="table" w:customStyle="1" w:styleId="35">
    <w:name w:val="网格型1"/>
    <w:basedOn w:val="23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批注框文本 Char"/>
    <w:basedOn w:val="25"/>
    <w:link w:val="15"/>
    <w:semiHidden/>
    <w:qFormat/>
    <w:uiPriority w:val="99"/>
    <w:rPr>
      <w:sz w:val="18"/>
      <w:szCs w:val="18"/>
    </w:rPr>
  </w:style>
  <w:style w:type="character" w:customStyle="1" w:styleId="37">
    <w:name w:val="页眉 Char"/>
    <w:basedOn w:val="25"/>
    <w:link w:val="17"/>
    <w:semiHidden/>
    <w:qFormat/>
    <w:uiPriority w:val="99"/>
    <w:rPr>
      <w:sz w:val="18"/>
      <w:szCs w:val="18"/>
    </w:rPr>
  </w:style>
  <w:style w:type="character" w:customStyle="1" w:styleId="38">
    <w:name w:val="页脚 Char"/>
    <w:basedOn w:val="25"/>
    <w:link w:val="16"/>
    <w:qFormat/>
    <w:uiPriority w:val="99"/>
    <w:rPr>
      <w:sz w:val="18"/>
      <w:szCs w:val="18"/>
    </w:rPr>
  </w:style>
  <w:style w:type="character" w:customStyle="1" w:styleId="39">
    <w:name w:val="标题 1 Char"/>
    <w:basedOn w:val="2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0">
    <w:name w:val="标题 2 Char"/>
    <w:basedOn w:val="25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1">
    <w:name w:val="正文文本缩进 Char"/>
    <w:basedOn w:val="25"/>
    <w:link w:val="12"/>
    <w:qFormat/>
    <w:uiPriority w:val="99"/>
  </w:style>
  <w:style w:type="character" w:customStyle="1" w:styleId="42">
    <w:name w:val="纯文本 Char"/>
    <w:basedOn w:val="25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4">
    <w:name w:val="正文文本缩进 Char1"/>
    <w:basedOn w:val="25"/>
    <w:link w:val="12"/>
    <w:qFormat/>
    <w:uiPriority w:val="99"/>
    <w:rPr>
      <w:rFonts w:ascii="Times New Roman" w:hAnsi="Times New Roman"/>
      <w:szCs w:val="24"/>
    </w:rPr>
  </w:style>
  <w:style w:type="paragraph" w:customStyle="1" w:styleId="45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6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7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4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0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1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2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3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4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5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5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孙立伟.</cp:lastModifiedBy>
  <cp:lastPrinted>2021-11-25T02:37:00Z</cp:lastPrinted>
  <dcterms:modified xsi:type="dcterms:W3CDTF">2025-12-27T12:36:41Z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