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color w:val="auto"/>
          <w:sz w:val="24"/>
          <w:szCs w:val="24"/>
          <w:highlight w:val="none"/>
          <w:lang w:val="en-US" w:eastAsia="zh-CN"/>
        </w:rPr>
      </w:pPr>
      <w:bookmarkStart w:id="0" w:name="_Toc22230"/>
      <w:r>
        <w:rPr>
          <w:rFonts w:hint="eastAsia" w:ascii="仿宋" w:hAnsi="仿宋" w:eastAsia="仿宋" w:cs="仿宋"/>
          <w:color w:val="auto"/>
          <w:highlight w:val="none"/>
          <w:lang w:val="en-US" w:eastAsia="zh-CN"/>
        </w:rPr>
        <w:t xml:space="preserve">第一部分 </w:t>
      </w:r>
      <w:bookmarkEnd w:id="0"/>
      <w:r>
        <w:rPr>
          <w:rFonts w:hint="eastAsia" w:ascii="仿宋" w:hAnsi="仿宋" w:eastAsia="仿宋" w:cs="仿宋"/>
          <w:color w:val="auto"/>
          <w:highlight w:val="none"/>
          <w:lang w:val="en-US" w:eastAsia="zh-CN"/>
        </w:rPr>
        <w:t>竞价采购公告</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山信软件股份有限公司商务中心现对</w:t>
      </w:r>
      <w:r>
        <w:rPr>
          <w:rFonts w:hint="eastAsia" w:ascii="仿宋" w:hAnsi="仿宋" w:eastAsia="仿宋" w:cs="仿宋"/>
          <w:color w:val="auto"/>
          <w:sz w:val="24"/>
          <w:szCs w:val="24"/>
          <w:highlight w:val="none"/>
          <w:u w:val="single"/>
          <w:lang w:val="en-US" w:eastAsia="zh-CN"/>
        </w:rPr>
        <w:t>炼钢连铸机测温取样机器人系统施工</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竞价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ind w:firstLine="482" w:firstLineChars="200"/>
        <w:jc w:val="both"/>
        <w:textAlignment w:val="auto"/>
        <w:rPr>
          <w:rFonts w:hint="eastAsia" w:ascii="仿宋" w:hAnsi="仿宋" w:eastAsia="仿宋" w:cs="仿宋"/>
          <w:b/>
          <w:bCs/>
          <w:color w:val="auto"/>
          <w:kern w:val="0"/>
          <w:sz w:val="24"/>
          <w:szCs w:val="24"/>
          <w:highlight w:val="none"/>
          <w:u w:val="single"/>
          <w:shd w:val="clear" w:color="auto" w:fill="FFFFFF"/>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color w:val="auto"/>
          <w:sz w:val="24"/>
          <w:szCs w:val="24"/>
          <w:highlight w:val="none"/>
          <w:u w:val="single"/>
          <w:lang w:val="en-US" w:eastAsia="zh-CN"/>
        </w:rPr>
        <w:t>炼钢连铸机测温取样机器人系统施工LD251230</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b/>
          <w:bCs/>
          <w:color w:val="auto"/>
          <w:sz w:val="24"/>
          <w:szCs w:val="24"/>
          <w:highlight w:val="none"/>
        </w:rPr>
        <w:t>二、采购项目编号：</w:t>
      </w:r>
      <w:r>
        <w:rPr>
          <w:rFonts w:hint="eastAsia" w:ascii="仿宋" w:hAnsi="仿宋" w:eastAsia="仿宋" w:cs="仿宋"/>
          <w:color w:val="auto"/>
          <w:sz w:val="24"/>
          <w:szCs w:val="24"/>
          <w:highlight w:val="none"/>
          <w:u w:val="single"/>
          <w:lang w:val="en-US" w:eastAsia="zh-CN"/>
        </w:rPr>
        <w:t xml:space="preserve">19185225123220 </w:t>
      </w:r>
      <w:r>
        <w:rPr>
          <w:rFonts w:hint="eastAsia" w:ascii="仿宋" w:hAnsi="仿宋" w:eastAsia="仿宋" w:cs="仿宋"/>
          <w:b/>
          <w:bCs/>
          <w:color w:val="auto"/>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内容：详见附件“竞价明细表”。</w:t>
      </w:r>
    </w:p>
    <w:p>
      <w:pPr>
        <w:pStyle w:val="37"/>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施工图纸及国家现行施工验收规范进行施工，并对施工质量负全部责任。如施工质量验收不合格，成交供应商须在采购人要求的期限内无条件进行整改或返工，直至工程质量完全符合要求并通过最终验收为止，由此产生的一切费用和风险由供应商承担。</w:t>
      </w:r>
    </w:p>
    <w:p>
      <w:pPr>
        <w:pStyle w:val="37"/>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w:t>
      </w:r>
      <w:r>
        <w:rPr>
          <w:rFonts w:hint="eastAsia" w:ascii="仿宋" w:hAnsi="仿宋" w:eastAsia="仿宋" w:cs="仿宋"/>
          <w:b w:val="0"/>
          <w:bCs w:val="0"/>
          <w:color w:val="auto"/>
          <w:kern w:val="0"/>
          <w:sz w:val="24"/>
          <w:szCs w:val="24"/>
          <w:highlight w:val="none"/>
          <w:u w:val="single"/>
          <w:lang w:val="en-US" w:eastAsia="zh-CN"/>
        </w:rPr>
        <w:t xml:space="preserve">   </w:t>
      </w:r>
      <w:r>
        <w:rPr>
          <w:rFonts w:hint="eastAsia" w:ascii="仿宋" w:hAnsi="仿宋" w:eastAsia="仿宋" w:cs="仿宋"/>
          <w:b w:val="0"/>
          <w:bCs w:val="0"/>
          <w:color w:val="auto"/>
          <w:kern w:val="0"/>
          <w:sz w:val="24"/>
          <w:szCs w:val="24"/>
          <w:highlight w:val="none"/>
          <w:u w:val="none"/>
          <w:lang w:val="en-US" w:eastAsia="zh-CN"/>
        </w:rPr>
        <w:t>包</w:t>
      </w:r>
      <w:r>
        <w:rPr>
          <w:rFonts w:hint="eastAsia" w:ascii="仿宋" w:hAnsi="仿宋" w:eastAsia="仿宋" w:cs="仿宋"/>
          <w:b w:val="0"/>
          <w:bCs w:val="0"/>
          <w:color w:val="auto"/>
          <w:kern w:val="0"/>
          <w:sz w:val="24"/>
          <w:szCs w:val="24"/>
          <w:highlight w:val="none"/>
          <w:lang w:val="en-US" w:eastAsia="zh-CN"/>
        </w:rPr>
        <w:t>。</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四、供应商资格：</w:t>
      </w:r>
    </w:p>
    <w:p>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pPr>
        <w:numPr>
          <w:ilvl w:val="0"/>
          <w:numId w:val="0"/>
        </w:numPr>
        <w:snapToGrid w:val="0"/>
        <w:spacing w:line="360" w:lineRule="auto"/>
        <w:ind w:firstLine="480" w:firstLineChars="200"/>
        <w:rPr>
          <w:rFonts w:hint="default"/>
          <w:highlight w:val="non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pPr>
        <w:snapToGrid w:val="0"/>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，未处于财产被接管或冻结、责令停业状态；202</w:t>
      </w:r>
      <w:r>
        <w:rPr>
          <w:rFonts w:hint="eastAsia" w:ascii="仿宋" w:hAnsi="仿宋" w:eastAsia="仿宋" w:cs="仿宋"/>
          <w:bCs/>
          <w:color w:val="auto"/>
          <w:sz w:val="24"/>
          <w:szCs w:val="24"/>
          <w:highlight w:val="none"/>
          <w:u w:val="single"/>
          <w:lang w:val="en-US" w:eastAsia="zh-CN"/>
        </w:rPr>
        <w:t>3</w:t>
      </w:r>
      <w:r>
        <w:rPr>
          <w:rFonts w:hint="eastAsia" w:ascii="仿宋" w:hAnsi="仿宋" w:eastAsia="仿宋" w:cs="仿宋"/>
          <w:bCs/>
          <w:color w:val="auto"/>
          <w:sz w:val="24"/>
          <w:szCs w:val="24"/>
          <w:highlight w:val="none"/>
          <w:u w:val="single"/>
        </w:rPr>
        <w:t>年</w:t>
      </w:r>
      <w:r>
        <w:rPr>
          <w:rFonts w:hint="eastAsia" w:ascii="仿宋" w:hAnsi="仿宋" w:eastAsia="仿宋" w:cs="仿宋"/>
          <w:bCs/>
          <w:color w:val="auto"/>
          <w:sz w:val="24"/>
          <w:szCs w:val="24"/>
          <w:highlight w:val="none"/>
          <w:u w:val="single"/>
          <w:lang w:val="en-US" w:eastAsia="zh-CN"/>
        </w:rPr>
        <w:t>1月1日至今</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r>
        <w:rPr>
          <w:rFonts w:hint="eastAsia" w:ascii="仿宋" w:hAnsi="仿宋" w:eastAsia="仿宋" w:cs="仿宋"/>
          <w:bCs/>
          <w:color w:val="auto"/>
          <w:sz w:val="24"/>
          <w:szCs w:val="24"/>
          <w:highlight w:val="none"/>
          <w:u w:val="single"/>
          <w:lang w:eastAsia="zh-CN"/>
        </w:rPr>
        <w:t>。</w:t>
      </w:r>
    </w:p>
    <w:p>
      <w:pPr>
        <w:snapToGrid w:val="0"/>
        <w:spacing w:line="360" w:lineRule="auto"/>
        <w:ind w:firstLine="480" w:firstLineChars="200"/>
        <w:rPr>
          <w:rFonts w:hint="default"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u w:val="single"/>
          <w:lang w:val="en-US" w:eastAsia="zh-CN"/>
        </w:rPr>
        <w:t>（4）施工资质：响应商须具有建筑工程施工资质三级及三级以上资质，同时须具有有效安全生产许可证。施工人员要求：施工人员必须具有安全员证，根据采购人的现场作业需求，提供现场作业涉及到的特种作业证，成交后，响应商须为现场施工人员购买意外伤害保险。</w:t>
      </w:r>
    </w:p>
    <w:p>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5</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rPr>
        <w:t xml:space="preserve">供应商不得存在下列情形之一： </w:t>
      </w:r>
    </w:p>
    <w:p>
      <w:pPr>
        <w:snapToGrid w:val="0"/>
        <w:spacing w:line="360" w:lineRule="auto"/>
        <w:ind w:firstLine="720" w:firstLineChars="3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p>
    <w:p>
      <w:pPr>
        <w:widowControl/>
        <w:numPr>
          <w:ilvl w:val="0"/>
          <w:numId w:val="0"/>
        </w:numPr>
        <w:adjustRightInd w:val="0"/>
        <w:snapToGrid w:val="0"/>
        <w:spacing w:line="360" w:lineRule="auto"/>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（6）本项目不接受联合体报价。</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六</w:t>
      </w:r>
      <w:r>
        <w:rPr>
          <w:rFonts w:hint="eastAsia" w:ascii="仿宋" w:hAnsi="仿宋" w:eastAsia="仿宋" w:cs="仿宋"/>
          <w:b/>
          <w:bCs/>
          <w:color w:val="auto"/>
          <w:kern w:val="0"/>
          <w:sz w:val="24"/>
          <w:szCs w:val="24"/>
          <w:highlight w:val="none"/>
        </w:rPr>
        <w:t>、获取采购文件</w:t>
      </w:r>
    </w:p>
    <w:p>
      <w:pPr>
        <w:pStyle w:val="38"/>
        <w:spacing w:beforeAutospacing="0" w:afterAutospacing="0"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none"/>
          <w:u w:val="single"/>
          <w:lang w:val="en-US" w:eastAsia="zh-CN"/>
        </w:rPr>
        <w:t xml:space="preserve">   0  </w:t>
      </w:r>
      <w:r>
        <w:rPr>
          <w:rFonts w:hint="eastAsia" w:ascii="仿宋" w:hAnsi="仿宋" w:eastAsia="仿宋" w:cs="仿宋"/>
          <w:bCs/>
          <w:color w:val="auto"/>
          <w:sz w:val="24"/>
          <w:szCs w:val="24"/>
          <w:highlight w:val="none"/>
          <w:lang w:val="en-US" w:eastAsia="zh-CN"/>
        </w:rPr>
        <w:t>元，供应商报名后无需缴费，自行下载采购文件，报名截止时间详见山东钢铁集团有限公司招标采购与拍卖管理信息平台（简称：山钢招采平台）（</w:t>
      </w:r>
      <w:r>
        <w:rPr>
          <w:rFonts w:hint="eastAsia" w:ascii="仿宋" w:hAnsi="仿宋" w:eastAsia="仿宋" w:cs="仿宋"/>
          <w:bCs/>
          <w:color w:val="auto"/>
          <w:sz w:val="24"/>
          <w:szCs w:val="24"/>
          <w:highlight w:val="none"/>
          <w:lang w:val="en-US" w:eastAsia="zh-CN"/>
        </w:rPr>
        <w:fldChar w:fldCharType="begin"/>
      </w:r>
      <w:r>
        <w:rPr>
          <w:rFonts w:hint="eastAsia" w:ascii="仿宋" w:hAnsi="仿宋" w:eastAsia="仿宋" w:cs="仿宋"/>
          <w:bCs/>
          <w:color w:val="auto"/>
          <w:sz w:val="24"/>
          <w:szCs w:val="24"/>
          <w:highlight w:val="none"/>
          <w:lang w:val="en-US" w:eastAsia="zh-CN"/>
        </w:rPr>
        <w:instrText xml:space="preserve"> HYPERLINK "http://bams.shansteelgroup.com" </w:instrText>
      </w:r>
      <w:r>
        <w:rPr>
          <w:rFonts w:hint="eastAsia" w:ascii="仿宋" w:hAnsi="仿宋" w:eastAsia="仿宋" w:cs="仿宋"/>
          <w:bCs/>
          <w:color w:val="auto"/>
          <w:sz w:val="24"/>
          <w:szCs w:val="24"/>
          <w:highlight w:val="none"/>
          <w:lang w:val="en-US" w:eastAsia="zh-CN"/>
        </w:rPr>
        <w:fldChar w:fldCharType="separate"/>
      </w:r>
      <w:r>
        <w:rPr>
          <w:rFonts w:hint="eastAsia" w:ascii="仿宋" w:hAnsi="仿宋" w:eastAsia="仿宋" w:cs="仿宋"/>
          <w:bCs/>
          <w:color w:val="auto"/>
          <w:sz w:val="24"/>
          <w:szCs w:val="24"/>
          <w:highlight w:val="none"/>
          <w:lang w:val="en-US" w:eastAsia="zh-CN"/>
        </w:rPr>
        <w:t>http://bams.shansteelgroup.com</w:t>
      </w:r>
      <w:r>
        <w:rPr>
          <w:rFonts w:hint="eastAsia" w:ascii="仿宋" w:hAnsi="仿宋" w:eastAsia="仿宋" w:cs="仿宋"/>
          <w:bCs/>
          <w:color w:val="auto"/>
          <w:sz w:val="24"/>
          <w:szCs w:val="24"/>
          <w:highlight w:val="none"/>
          <w:lang w:val="en-US" w:eastAsia="zh-CN"/>
        </w:rPr>
        <w:fldChar w:fldCharType="end"/>
      </w:r>
      <w:r>
        <w:rPr>
          <w:rFonts w:hint="eastAsia" w:ascii="仿宋" w:hAnsi="仿宋" w:eastAsia="仿宋" w:cs="仿宋"/>
          <w:bCs/>
          <w:color w:val="auto"/>
          <w:sz w:val="24"/>
          <w:szCs w:val="24"/>
          <w:highlight w:val="none"/>
          <w:lang w:val="en-US" w:eastAsia="zh-CN"/>
        </w:rPr>
        <w:t>）。</w:t>
      </w:r>
    </w:p>
    <w:p>
      <w:pPr>
        <w:pStyle w:val="4"/>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七、竞价响应文件的递交及形式   </w:t>
      </w:r>
    </w:p>
    <w:p>
      <w:pPr>
        <w:snapToGrid w:val="0"/>
        <w:spacing w:line="360" w:lineRule="auto"/>
        <w:ind w:firstLine="720" w:firstLineChars="3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网上报价、平台上传盖章扫描版响应文件，网上上传响应文件的截止时间（评审时间）</w:t>
      </w:r>
      <w:r>
        <w:rPr>
          <w:rFonts w:hint="eastAsia" w:ascii="仿宋" w:hAnsi="仿宋" w:eastAsia="仿宋" w:cs="仿宋"/>
          <w:bCs/>
          <w:color w:val="auto"/>
          <w:sz w:val="24"/>
          <w:szCs w:val="24"/>
          <w:highlight w:val="none"/>
          <w:u w:val="single"/>
          <w:lang w:val="en-US" w:eastAsia="zh-CN"/>
        </w:rPr>
        <w:t>详见山钢招采平台，</w:t>
      </w:r>
      <w:r>
        <w:rPr>
          <w:rFonts w:hint="eastAsia" w:ascii="仿宋" w:hAnsi="仿宋" w:eastAsia="仿宋" w:cs="仿宋"/>
          <w:bCs/>
          <w:color w:val="auto"/>
          <w:sz w:val="24"/>
          <w:szCs w:val="24"/>
          <w:highlight w:val="none"/>
          <w:u w:val="none"/>
          <w:lang w:val="en-US" w:eastAsia="zh-CN"/>
        </w:rPr>
        <w:t>对逾期上传或未上传的，不予受理。</w:t>
      </w:r>
    </w:p>
    <w:p>
      <w:pPr>
        <w:pStyle w:val="286"/>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、联系方式：</w:t>
      </w:r>
    </w:p>
    <w:p>
      <w:pPr>
        <w:pStyle w:val="286"/>
        <w:spacing w:line="360" w:lineRule="auto"/>
        <w:ind w:firstLine="720" w:firstLineChars="300"/>
        <w:rPr>
          <w:rFonts w:hint="default" w:ascii="仿宋" w:hAnsi="仿宋" w:eastAsia="仿宋" w:cs="仿宋"/>
          <w:color w:val="auto"/>
          <w:sz w:val="24"/>
          <w:szCs w:val="24"/>
          <w:highlight w:val="none"/>
          <w:u w:val="none" w:color="auto"/>
          <w:lang w:val="en-US"/>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山信软件股份有限公司商务中心</w:t>
      </w:r>
    </w:p>
    <w:p>
      <w:pPr>
        <w:pStyle w:val="286"/>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 xml:space="preserve"> 济南市高新区舜华路2000号舜泰广场4号楼</w:t>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联系人：鲍广荣/贺晓雪  0531-76923296  67606213</w:t>
      </w:r>
    </w:p>
    <w:p>
      <w:pPr>
        <w:pStyle w:val="286"/>
        <w:spacing w:line="360" w:lineRule="auto"/>
        <w:ind w:firstLine="720" w:firstLineChars="300"/>
        <w:rPr>
          <w:rFonts w:hint="default" w:ascii="仿宋" w:hAnsi="仿宋" w:eastAsia="仿宋_GB2312"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电子邮箱：</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s56054</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s56053</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商务联系人：孙工，联系方式：0531-67606239</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技术联系人：详见询价明细表。</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 】山信软件股份有限公司</w:t>
      </w:r>
    </w:p>
    <w:p>
      <w:pPr>
        <w:pStyle w:val="286"/>
        <w:spacing w:line="360" w:lineRule="auto"/>
        <w:ind w:firstLine="720" w:firstLineChars="300"/>
        <w:rPr>
          <w:rFonts w:hint="eastAsia" w:ascii="仿宋" w:hAnsi="仿宋" w:eastAsia="仿宋" w:cs="仿宋"/>
          <w:color w:val="auto"/>
          <w:sz w:val="24"/>
          <w:szCs w:val="24"/>
          <w:highlight w:val="none"/>
          <w:u w:val="none"/>
          <w:lang w:val="zh-CN" w:eastAsia="zh-CN"/>
        </w:rPr>
      </w:pPr>
      <w:r>
        <w:rPr>
          <w:rFonts w:hint="eastAsia" w:ascii="仿宋" w:hAnsi="仿宋" w:eastAsia="仿宋" w:cs="仿宋"/>
          <w:color w:val="auto"/>
          <w:sz w:val="24"/>
          <w:szCs w:val="24"/>
          <w:highlight w:val="none"/>
          <w:u w:val="none"/>
          <w:lang w:val="en-US" w:eastAsia="zh-CN"/>
        </w:rPr>
        <w:t>【</w:t>
      </w:r>
      <w:r>
        <w:rPr>
          <w:rFonts w:hint="default" w:ascii="Arial" w:hAnsi="Arial" w:eastAsia="仿宋" w:cs="Arial"/>
          <w:color w:val="auto"/>
          <w:sz w:val="24"/>
          <w:szCs w:val="24"/>
          <w:highlight w:val="none"/>
          <w:u w:val="none"/>
          <w:lang w:val="en-US" w:eastAsia="zh-CN"/>
        </w:rPr>
        <w:t>√</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lang w:val="zh-CN" w:eastAsia="zh-CN"/>
        </w:rPr>
        <w:t>莱芜钢铁集团电子有限公司</w:t>
      </w:r>
    </w:p>
    <w:p>
      <w:pPr>
        <w:pStyle w:val="38"/>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color w:val="auto"/>
          <w:kern w:val="2"/>
          <w:szCs w:val="24"/>
          <w:highlight w:val="none"/>
          <w:lang w:val="en-US" w:eastAsia="zh-CN"/>
        </w:rPr>
        <w:t>九</w:t>
      </w:r>
      <w:r>
        <w:rPr>
          <w:rFonts w:hint="eastAsia" w:ascii="仿宋" w:hAnsi="仿宋" w:eastAsia="仿宋" w:cs="仿宋"/>
          <w:b/>
          <w:color w:val="auto"/>
          <w:kern w:val="2"/>
          <w:szCs w:val="24"/>
          <w:highlight w:val="none"/>
        </w:rPr>
        <w:t>、发布媒体</w:t>
      </w:r>
    </w:p>
    <w:p>
      <w:pPr>
        <w:pStyle w:val="38"/>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rPr>
        <w:t>http://bams.shansteelgroup.com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rPr>
        <w:t>山信软件股份有限公司商务中心</w:t>
      </w:r>
    </w:p>
    <w:p>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2026年1月4日</w:t>
      </w:r>
    </w:p>
    <w:p>
      <w:pPr>
        <w:spacing w:line="360" w:lineRule="auto"/>
        <w:jc w:val="both"/>
        <w:rPr>
          <w:rFonts w:hint="default" w:ascii="仿宋" w:hAnsi="仿宋" w:eastAsia="仿宋" w:cs="仿宋"/>
          <w:color w:val="auto"/>
          <w:sz w:val="24"/>
          <w:szCs w:val="24"/>
          <w:highlight w:val="none"/>
          <w:lang w:val="en-US" w:eastAsia="zh-CN"/>
        </w:rPr>
        <w:sectPr>
          <w:headerReference r:id="rId3" w:type="default"/>
          <w:footerReference r:id="rId4"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Fonts w:hint="eastAsia" w:ascii="仿宋" w:hAnsi="仿宋" w:eastAsia="仿宋" w:cs="仿宋"/>
          <w:color w:val="auto"/>
          <w:sz w:val="24"/>
          <w:szCs w:val="24"/>
          <w:highlight w:val="none"/>
          <w:lang w:val="en-US" w:eastAsia="zh-CN"/>
        </w:rPr>
        <w:t xml:space="preserve">                     </w:t>
      </w:r>
    </w:p>
    <w:p>
      <w:pPr>
        <w:spacing w:line="360" w:lineRule="auto"/>
        <w:jc w:val="both"/>
        <w:rPr>
          <w:rFonts w:hint="eastAsia" w:ascii="仿宋" w:hAnsi="仿宋" w:eastAsia="仿宋" w:cs="仿宋"/>
          <w:b/>
          <w:bCs/>
          <w:color w:val="auto"/>
          <w:kern w:val="0"/>
          <w:sz w:val="28"/>
          <w:szCs w:val="28"/>
          <w:highlight w:val="none"/>
          <w:shd w:val="clear" w:color="auto" w:fill="FFFFFF"/>
          <w:lang w:val="en-US" w:eastAsia="zh-CN"/>
        </w:rPr>
      </w:pPr>
      <w:r>
        <w:rPr>
          <w:rFonts w:hint="eastAsia" w:ascii="黑体" w:hAnsi="黑体" w:eastAsia="黑体" w:cs="黑体"/>
          <w:color w:val="auto"/>
          <w:kern w:val="0"/>
          <w:sz w:val="24"/>
          <w:szCs w:val="24"/>
          <w:highlight w:val="none"/>
          <w:shd w:val="clear" w:color="auto" w:fill="FFFFFF"/>
          <w:lang w:val="en-US" w:eastAsia="zh-CN"/>
        </w:rPr>
        <w:t xml:space="preserve">附件                                                 </w:t>
      </w:r>
      <w:r>
        <w:rPr>
          <w:rFonts w:hint="eastAsia" w:ascii="仿宋" w:hAnsi="仿宋" w:eastAsia="仿宋" w:cs="仿宋"/>
          <w:b/>
          <w:bCs/>
          <w:color w:val="auto"/>
          <w:kern w:val="0"/>
          <w:sz w:val="28"/>
          <w:szCs w:val="28"/>
          <w:highlight w:val="none"/>
          <w:shd w:val="clear" w:color="auto" w:fill="FFFFFF"/>
          <w:lang w:val="en-US" w:eastAsia="zh-CN"/>
        </w:rPr>
        <w:t>竞价明细表</w:t>
      </w:r>
    </w:p>
    <w:tbl>
      <w:tblPr>
        <w:tblStyle w:val="40"/>
        <w:tblW w:w="13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48"/>
        <w:gridCol w:w="2665"/>
        <w:gridCol w:w="1838"/>
        <w:gridCol w:w="750"/>
        <w:gridCol w:w="962"/>
        <w:gridCol w:w="1400"/>
        <w:gridCol w:w="1188"/>
        <w:gridCol w:w="1825"/>
        <w:gridCol w:w="2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序号</w:t>
            </w:r>
          </w:p>
        </w:tc>
        <w:tc>
          <w:tcPr>
            <w:tcW w:w="26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物料名称</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规格型号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数量</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工期</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使用地点</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制造商名称（型规如有变更请注明）</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联系人及电话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1"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1</w:t>
            </w:r>
          </w:p>
        </w:tc>
        <w:tc>
          <w:tcPr>
            <w:tcW w:w="26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电气仪表及网络施工</w:t>
            </w:r>
          </w:p>
        </w:tc>
        <w:tc>
          <w:tcPr>
            <w:tcW w:w="1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永锋临港二期一步炼钢连铸机测温取样机器人系统施工</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总</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2026-1-30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莱钢</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技术联系人：李海朋：联系方式13156342536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2</w:t>
            </w:r>
          </w:p>
        </w:tc>
        <w:tc>
          <w:tcPr>
            <w:tcW w:w="26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电气仪表及网络施工</w:t>
            </w:r>
          </w:p>
        </w:tc>
        <w:tc>
          <w:tcPr>
            <w:tcW w:w="1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 xml:space="preserve">永锋临港二期二步炼钢铁水自动测温取样机器人系统施工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宗</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2026-1-30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莱钢</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技术联系人：李海朋：联系方式13156342536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合计</w:t>
            </w:r>
          </w:p>
        </w:tc>
        <w:tc>
          <w:tcPr>
            <w:tcW w:w="13052"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人民币大写：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9" w:hRule="atLeast"/>
        </w:trPr>
        <w:tc>
          <w:tcPr>
            <w:tcW w:w="1380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仿宋" w:hAnsi="仿宋" w:eastAsia="仿宋" w:cs="仿宋"/>
                <w:b w:val="0"/>
                <w:bCs/>
                <w:i w:val="0"/>
                <w:iCs w:val="0"/>
                <w:color w:val="000000"/>
                <w:kern w:val="0"/>
                <w:sz w:val="22"/>
                <w:szCs w:val="22"/>
                <w:u w:val="none"/>
                <w:lang w:val="en-US" w:eastAsia="zh-CN" w:bidi="ar"/>
              </w:rPr>
              <w:t>备注:报价为人民币，含9%增值税率，报价包含材料费、运保费、包装费、运保费、现场施工服务费、培训费、税费、规费、后续服务费等全部费用，在报价表内未明确列述的项目费用应视为包括在其他项目报价内。</w:t>
            </w:r>
          </w:p>
        </w:tc>
      </w:tr>
    </w:tbl>
    <w:p>
      <w:pPr>
        <w:spacing w:line="360" w:lineRule="auto"/>
        <w:jc w:val="center"/>
        <w:rPr>
          <w:rFonts w:hint="eastAsia"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施工明细表</w:t>
      </w:r>
    </w:p>
    <w:tbl>
      <w:tblPr>
        <w:tblW w:w="13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49"/>
        <w:gridCol w:w="1914"/>
        <w:gridCol w:w="3640"/>
        <w:gridCol w:w="565"/>
        <w:gridCol w:w="716"/>
        <w:gridCol w:w="874"/>
        <w:gridCol w:w="660"/>
        <w:gridCol w:w="4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13900" w:type="dxa"/>
            <w:gridSpan w:val="8"/>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bookmarkStart w:id="1" w:name="_GoBack"/>
            <w:r>
              <w:rPr>
                <w:rFonts w:hint="eastAsia" w:ascii="仿宋_GB2312" w:hAnsi="仿宋_GB2312" w:eastAsia="仿宋_GB2312" w:cs="仿宋_GB2312"/>
                <w:b/>
                <w:i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521970</wp:posOffset>
                  </wp:positionH>
                  <wp:positionV relativeFrom="paragraph">
                    <wp:posOffset>0</wp:posOffset>
                  </wp:positionV>
                  <wp:extent cx="685800" cy="228600"/>
                  <wp:effectExtent l="0" t="0" r="0" b="0"/>
                  <wp:wrapNone/>
                  <wp:docPr id="2" name="Object_28"/>
                  <wp:cNvGraphicFramePr/>
                  <a:graphic xmlns:a="http://schemas.openxmlformats.org/drawingml/2006/main">
                    <a:graphicData uri="http://schemas.openxmlformats.org/drawingml/2006/picture">
                      <pic:pic xmlns:pic="http://schemas.openxmlformats.org/drawingml/2006/picture">
                        <pic:nvPicPr>
                          <pic:cNvPr id="2" name="Object_28"/>
                          <pic:cNvPicPr/>
                        </pic:nvPicPr>
                        <pic:blipFill>
                          <a:blip r:link="rId6"/>
                          <a:stretch>
                            <a:fillRect/>
                          </a:stretch>
                        </pic:blipFill>
                        <pic:spPr>
                          <a:xfrm>
                            <a:off x="0" y="0"/>
                            <a:ext cx="685800" cy="228600"/>
                          </a:xfrm>
                          <a:prstGeom prst="rect">
                            <a:avLst/>
                          </a:prstGeom>
                          <a:noFill/>
                          <a:ln>
                            <a:noFill/>
                          </a:ln>
                        </pic:spPr>
                      </pic:pic>
                    </a:graphicData>
                  </a:graphic>
                </wp:anchor>
              </w:drawing>
            </w:r>
            <w:r>
              <w:rPr>
                <w:rFonts w:hint="eastAsia" w:ascii="仿宋_GB2312" w:hAnsi="仿宋_GB2312" w:eastAsia="仿宋_GB2312" w:cs="仿宋_GB2312"/>
                <w:b/>
                <w:i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521970</wp:posOffset>
                  </wp:positionH>
                  <wp:positionV relativeFrom="paragraph">
                    <wp:posOffset>0</wp:posOffset>
                  </wp:positionV>
                  <wp:extent cx="685800" cy="377190"/>
                  <wp:effectExtent l="0" t="0" r="0" b="0"/>
                  <wp:wrapNone/>
                  <wp:docPr id="4" name="Object_28_SpCnt_1"/>
                  <wp:cNvGraphicFramePr/>
                  <a:graphic xmlns:a="http://schemas.openxmlformats.org/drawingml/2006/main">
                    <a:graphicData uri="http://schemas.openxmlformats.org/drawingml/2006/picture">
                      <pic:pic xmlns:pic="http://schemas.openxmlformats.org/drawingml/2006/picture">
                        <pic:nvPicPr>
                          <pic:cNvPr id="4" name="Object_28_SpCnt_1"/>
                          <pic:cNvPicPr/>
                        </pic:nvPicPr>
                        <pic:blipFill>
                          <a:blip r:link="rId7"/>
                          <a:stretch>
                            <a:fillRect/>
                          </a:stretch>
                        </pic:blipFill>
                        <pic:spPr>
                          <a:xfrm>
                            <a:off x="0" y="0"/>
                            <a:ext cx="685800" cy="377190"/>
                          </a:xfrm>
                          <a:prstGeom prst="rect">
                            <a:avLst/>
                          </a:prstGeom>
                          <a:noFill/>
                          <a:ln>
                            <a:noFill/>
                          </a:ln>
                        </pic:spPr>
                      </pic:pic>
                    </a:graphicData>
                  </a:graphic>
                </wp:anchor>
              </w:drawing>
            </w:r>
            <w:r>
              <w:rPr>
                <w:rFonts w:hint="eastAsia" w:ascii="仿宋_GB2312" w:hAnsi="仿宋_GB2312" w:eastAsia="仿宋_GB2312" w:cs="仿宋_GB2312"/>
                <w:b/>
                <w:i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521970</wp:posOffset>
                  </wp:positionH>
                  <wp:positionV relativeFrom="paragraph">
                    <wp:posOffset>0</wp:posOffset>
                  </wp:positionV>
                  <wp:extent cx="687070" cy="234315"/>
                  <wp:effectExtent l="0" t="0" r="0" b="0"/>
                  <wp:wrapNone/>
                  <wp:docPr id="3" name="Object_28_SpCnt_2"/>
                  <wp:cNvGraphicFramePr/>
                  <a:graphic xmlns:a="http://schemas.openxmlformats.org/drawingml/2006/main">
                    <a:graphicData uri="http://schemas.openxmlformats.org/drawingml/2006/picture">
                      <pic:pic xmlns:pic="http://schemas.openxmlformats.org/drawingml/2006/picture">
                        <pic:nvPicPr>
                          <pic:cNvPr id="3" name="Object_28_SpCnt_2"/>
                          <pic:cNvPicPr/>
                        </pic:nvPicPr>
                        <pic:blipFill>
                          <a:blip r:link="rId8"/>
                          <a:stretch>
                            <a:fillRect/>
                          </a:stretch>
                        </pic:blipFill>
                        <pic:spPr>
                          <a:xfrm>
                            <a:off x="0" y="0"/>
                            <a:ext cx="687070" cy="234315"/>
                          </a:xfrm>
                          <a:prstGeom prst="rect">
                            <a:avLst/>
                          </a:prstGeom>
                          <a:noFill/>
                          <a:ln>
                            <a:noFill/>
                          </a:ln>
                        </pic:spPr>
                      </pic:pic>
                    </a:graphicData>
                  </a:graphic>
                </wp:anchor>
              </w:drawing>
            </w:r>
            <w:r>
              <w:rPr>
                <w:rFonts w:hint="eastAsia" w:ascii="仿宋_GB2312" w:hAnsi="仿宋_GB2312" w:eastAsia="仿宋_GB2312" w:cs="仿宋_GB2312"/>
                <w:b/>
                <w:i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521970</wp:posOffset>
                  </wp:positionH>
                  <wp:positionV relativeFrom="paragraph">
                    <wp:posOffset>0</wp:posOffset>
                  </wp:positionV>
                  <wp:extent cx="685800" cy="234315"/>
                  <wp:effectExtent l="0" t="0" r="0" b="0"/>
                  <wp:wrapNone/>
                  <wp:docPr id="5" name="Object_28_SpCnt_3"/>
                  <wp:cNvGraphicFramePr/>
                  <a:graphic xmlns:a="http://schemas.openxmlformats.org/drawingml/2006/main">
                    <a:graphicData uri="http://schemas.openxmlformats.org/drawingml/2006/picture">
                      <pic:pic xmlns:pic="http://schemas.openxmlformats.org/drawingml/2006/picture">
                        <pic:nvPicPr>
                          <pic:cNvPr id="5" name="Object_28_SpCnt_3"/>
                          <pic:cNvPicPr/>
                        </pic:nvPicPr>
                        <pic:blipFill>
                          <a:blip r:link="rId9"/>
                          <a:stretch>
                            <a:fillRect/>
                          </a:stretch>
                        </pic:blipFill>
                        <pic:spPr>
                          <a:xfrm>
                            <a:off x="0" y="0"/>
                            <a:ext cx="685800" cy="234315"/>
                          </a:xfrm>
                          <a:prstGeom prst="rect">
                            <a:avLst/>
                          </a:prstGeom>
                          <a:noFill/>
                          <a:ln>
                            <a:noFill/>
                          </a:ln>
                        </pic:spPr>
                      </pic:pic>
                    </a:graphicData>
                  </a:graphic>
                </wp:anchor>
              </w:drawing>
            </w:r>
            <w:r>
              <w:rPr>
                <w:rFonts w:hint="eastAsia" w:ascii="仿宋_GB2312" w:hAnsi="仿宋_GB2312" w:eastAsia="仿宋_GB2312" w:cs="仿宋_GB2312"/>
                <w:b/>
                <w:i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521970</wp:posOffset>
                  </wp:positionH>
                  <wp:positionV relativeFrom="paragraph">
                    <wp:posOffset>0</wp:posOffset>
                  </wp:positionV>
                  <wp:extent cx="687070" cy="228600"/>
                  <wp:effectExtent l="0" t="0" r="0" b="0"/>
                  <wp:wrapNone/>
                  <wp:docPr id="7" name="Object_28_SpCnt_4"/>
                  <wp:cNvGraphicFramePr/>
                  <a:graphic xmlns:a="http://schemas.openxmlformats.org/drawingml/2006/main">
                    <a:graphicData uri="http://schemas.openxmlformats.org/drawingml/2006/picture">
                      <pic:pic xmlns:pic="http://schemas.openxmlformats.org/drawingml/2006/picture">
                        <pic:nvPicPr>
                          <pic:cNvPr id="7" name="Object_28_SpCnt_4"/>
                          <pic:cNvPicPr/>
                        </pic:nvPicPr>
                        <pic:blipFill>
                          <a:blip r:link="rId10"/>
                          <a:stretch>
                            <a:fillRect/>
                          </a:stretch>
                        </pic:blipFill>
                        <pic:spPr>
                          <a:xfrm>
                            <a:off x="0" y="0"/>
                            <a:ext cx="687070" cy="228600"/>
                          </a:xfrm>
                          <a:prstGeom prst="rect">
                            <a:avLst/>
                          </a:prstGeom>
                          <a:noFill/>
                          <a:ln>
                            <a:noFill/>
                          </a:ln>
                        </pic:spPr>
                      </pic:pic>
                    </a:graphicData>
                  </a:graphic>
                </wp:anchor>
              </w:drawing>
            </w:r>
            <w:r>
              <w:rPr>
                <w:rFonts w:hint="eastAsia" w:ascii="仿宋_GB2312" w:hAnsi="仿宋_GB2312" w:eastAsia="仿宋_GB2312" w:cs="仿宋_GB2312"/>
                <w:b/>
                <w:i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521970</wp:posOffset>
                  </wp:positionH>
                  <wp:positionV relativeFrom="paragraph">
                    <wp:posOffset>0</wp:posOffset>
                  </wp:positionV>
                  <wp:extent cx="685800" cy="791845"/>
                  <wp:effectExtent l="0" t="0" r="0" b="0"/>
                  <wp:wrapNone/>
                  <wp:docPr id="8" name="Object_28_SpCnt_5"/>
                  <wp:cNvGraphicFramePr/>
                  <a:graphic xmlns:a="http://schemas.openxmlformats.org/drawingml/2006/main">
                    <a:graphicData uri="http://schemas.openxmlformats.org/drawingml/2006/picture">
                      <pic:pic xmlns:pic="http://schemas.openxmlformats.org/drawingml/2006/picture">
                        <pic:nvPicPr>
                          <pic:cNvPr id="8" name="Object_28_SpCnt_5"/>
                          <pic:cNvPicPr/>
                        </pic:nvPicPr>
                        <pic:blipFill>
                          <a:blip r:link="rId11"/>
                          <a:stretch>
                            <a:fillRect/>
                          </a:stretch>
                        </pic:blipFill>
                        <pic:spPr>
                          <a:xfrm>
                            <a:off x="0" y="0"/>
                            <a:ext cx="685800" cy="791845"/>
                          </a:xfrm>
                          <a:prstGeom prst="rect">
                            <a:avLst/>
                          </a:prstGeom>
                          <a:noFill/>
                          <a:ln>
                            <a:noFill/>
                          </a:ln>
                        </pic:spPr>
                      </pic:pic>
                    </a:graphicData>
                  </a:graphic>
                </wp:anchor>
              </w:drawing>
            </w:r>
            <w:r>
              <w:rPr>
                <w:rFonts w:hint="eastAsia" w:ascii="仿宋_GB2312" w:hAnsi="仿宋_GB2312" w:eastAsia="仿宋_GB2312" w:cs="仿宋_GB2312"/>
                <w:b/>
                <w:i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521970</wp:posOffset>
                  </wp:positionH>
                  <wp:positionV relativeFrom="paragraph">
                    <wp:posOffset>0</wp:posOffset>
                  </wp:positionV>
                  <wp:extent cx="687705" cy="227965"/>
                  <wp:effectExtent l="0" t="0" r="0" b="0"/>
                  <wp:wrapNone/>
                  <wp:docPr id="13" name="Object_28_SpCnt_6"/>
                  <wp:cNvGraphicFramePr/>
                  <a:graphic xmlns:a="http://schemas.openxmlformats.org/drawingml/2006/main">
                    <a:graphicData uri="http://schemas.openxmlformats.org/drawingml/2006/picture">
                      <pic:pic xmlns:pic="http://schemas.openxmlformats.org/drawingml/2006/picture">
                        <pic:nvPicPr>
                          <pic:cNvPr id="13" name="Object_28_SpCnt_6"/>
                          <pic:cNvPicPr/>
                        </pic:nvPicPr>
                        <pic:blipFill>
                          <a:blip r:link="rId12"/>
                          <a:stretch>
                            <a:fillRect/>
                          </a:stretch>
                        </pic:blipFill>
                        <pic:spPr>
                          <a:xfrm>
                            <a:off x="0" y="0"/>
                            <a:ext cx="687705" cy="227965"/>
                          </a:xfrm>
                          <a:prstGeom prst="rect">
                            <a:avLst/>
                          </a:prstGeom>
                          <a:noFill/>
                          <a:ln>
                            <a:noFill/>
                          </a:ln>
                        </pic:spPr>
                      </pic:pic>
                    </a:graphicData>
                  </a:graphic>
                </wp:anchor>
              </w:drawing>
            </w:r>
            <w:r>
              <w:rPr>
                <w:rFonts w:hint="eastAsia" w:ascii="仿宋_GB2312" w:hAnsi="仿宋_GB2312" w:eastAsia="仿宋_GB2312" w:cs="仿宋_GB2312"/>
                <w:b/>
                <w:i w:val="0"/>
                <w:color w:val="000000"/>
                <w:kern w:val="0"/>
                <w:sz w:val="24"/>
                <w:szCs w:val="24"/>
                <w:u w:val="none"/>
                <w:bdr w:val="none" w:color="auto" w:sz="0" w:space="0"/>
                <w:lang w:val="en-US" w:eastAsia="zh-CN" w:bidi="ar"/>
              </w:rPr>
              <w:t>一、永锋临港连铸测温取样机器人施工量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序号</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施工名称</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规格型号</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单位</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数量</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单价</w:t>
            </w: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合价</w:t>
            </w: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机器人本体安装</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ABB IRB6700-150/3.2</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装车，卸车，安装，安装在机器人底座上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1"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机器人底座安装</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尺寸(长*宽*高，800*800*30mm)</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装车，卸车，安装在连铸中间包平台上（焊接），调平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机器人底座加固</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FF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需在机器人安装位置下方焊接槽钢梁加固，需提供相应工字钢、槽钢等材料，尺寸约为1.7*1米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1"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4</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机器人工具及快换支架安装</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一个架子，三支测枪</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套</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装车，卸车，安装，安装在连铸中间包平台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5</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控制柜安装</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尺寸(长*宽*高，mm):1600*800*1800</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装车，卸车，安装在连铸平台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6</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测温取样料仓安装</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尺寸(长*宽*高，mm):1600*1000*2000</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装车，卸车，安装在连铸中间包平台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9"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7</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溜槽及拆除装置安装</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拆除装置安装在测温平台，溜槽处开孔，从下层平台安装，平台高度差约为2.8米</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套</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装车，卸车，安装，需钢板开孔，溜槽需与上方平台焊接固定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1"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8</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水口支架安装</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高度约1.2米</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套</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4</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装车，卸车，安装在中包车上，焊接，需加固安装位置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9</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操作箱安装</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尺寸(长*宽*高，mm):360*400*180</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装车，卸车，挂在安全围栏上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10</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上位机安装</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装车，卸车，安装，含延长线敷设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11</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摄像头安装</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4</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1"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12</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安全围栏安装</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分多段安装，总长约11米，共包含4个安全门</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套</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13</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主电源</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3*10+2*6</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100*2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装车，卸车，放线，线缆敷设_主电源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61"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14</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光缆敷设</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8芯</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100*4</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装车，卸车，放线，需走桥架或穿镀锌管防护，熔接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15</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机器人编码器线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15*2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装车，卸车，放线，机器人到PLC柜，走桥架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16</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机器人动力线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15*2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装车，卸车，放线，机器人到PLC柜，走桥架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17</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信号线</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3*0.5</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15*2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装车，卸车，放线，机器人到PLC柜，走桥架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18</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信号线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10*0.5</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20*2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装车，卸车，放线，机器人到PLC柜，走桥架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19</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pu气管</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φ12</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15*2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20</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信号线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KVVRP 24*0.5</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15*4</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装车，卸车，放线，PLC到探头仓，走桥架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21</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动力线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KVVRP 4*4</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20*2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22</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网线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超五类</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20*2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23</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pu气管</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φ12</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5*2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24</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信号线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KVVRP 24*0.5</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20*2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装车，卸车，放线，PLC到操作箱，走桥架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25</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信号线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KVVRP 2*1.0</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20*2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26</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网线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超五类</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20*2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27</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信号线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KVVRP 24*0.5</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20*2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装车，卸车，放线，PLC到快换支架，走桥架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28</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pu气管</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φ12</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5*2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29</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信号线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KVVRP 4*0.5</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25*4</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装车，卸车，放线，PLC到测温表，走桥架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30</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测温外补偿导线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4芯</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15*2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装车，卸车，放线，机器人到操作箱，走桥架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31</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测温外补偿导线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4芯</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15*2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装车，卸车，放线，操作箱到测温表，走桥架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32</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信号线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RVV 2*1.0</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15*2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装车，卸车，放线，PLC到安全门锁，走桥架或穿管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33</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信号线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RVV 2*1.0</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30*2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34</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信号线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KVVRP 6*0.5</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30*2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装车，卸车，放线，PLC到三色灯，走桥架或穿管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35</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相机电源</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RVV3*0.5</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20*4</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装车，卸车，放线，PLC到监控相机，走桥架或穿管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36</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网线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超五类</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30*4</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61"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37</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桥架敷设</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100*150</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50（预估）</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敷设，安装固定，如悬空需制作角铁支架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38</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穿线波纹管</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套</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提供部分穿线波纹管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9"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39</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加渣系统移位整改</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2套共8个料仓移位，2个距离约7米，2个移动距离约4米，4个移动距离约1米。料仓两人便可拖动。</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套</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现场加渣料仓移位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1"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40</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加渣系统延长管路改造，线缆敷设</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套</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提供与现场相同黑色胶管，外径约40mm，总长度约60米，分为4根，完成安装连接；负责移位后线缆重新敷设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41</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现场框架拆除</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18"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42</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除尘罩切割</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43</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防火泥</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系统PLC柜进线口封堵</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提供防火泥封堵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1"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44</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施工及设备包装废弃物清理</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宗</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定时将废弃物清运到指定位置或按照甲方要求运出厂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13900" w:type="dxa"/>
            <w:gridSpan w:val="8"/>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521970</wp:posOffset>
                  </wp:positionH>
                  <wp:positionV relativeFrom="paragraph">
                    <wp:posOffset>0</wp:posOffset>
                  </wp:positionV>
                  <wp:extent cx="687070" cy="234315"/>
                  <wp:effectExtent l="0" t="0" r="0" b="0"/>
                  <wp:wrapNone/>
                  <wp:docPr id="1" name="Object_28_SpCnt_7"/>
                  <wp:cNvGraphicFramePr/>
                  <a:graphic xmlns:a="http://schemas.openxmlformats.org/drawingml/2006/main">
                    <a:graphicData uri="http://schemas.openxmlformats.org/drawingml/2006/picture">
                      <pic:pic xmlns:pic="http://schemas.openxmlformats.org/drawingml/2006/picture">
                        <pic:nvPicPr>
                          <pic:cNvPr id="1" name="Object_28_SpCnt_7"/>
                          <pic:cNvPicPr/>
                        </pic:nvPicPr>
                        <pic:blipFill>
                          <a:blip r:link="rId13"/>
                          <a:stretch>
                            <a:fillRect/>
                          </a:stretch>
                        </pic:blipFill>
                        <pic:spPr>
                          <a:xfrm>
                            <a:off x="0" y="0"/>
                            <a:ext cx="687070" cy="234315"/>
                          </a:xfrm>
                          <a:prstGeom prst="rect">
                            <a:avLst/>
                          </a:prstGeom>
                          <a:noFill/>
                          <a:ln>
                            <a:noFill/>
                          </a:ln>
                        </pic:spPr>
                      </pic:pic>
                    </a:graphicData>
                  </a:graphic>
                </wp:anchor>
              </w:drawing>
            </w:r>
            <w:r>
              <w:rPr>
                <w:rFonts w:hint="eastAsia" w:ascii="仿宋_GB2312" w:hAnsi="仿宋_GB2312" w:eastAsia="仿宋_GB2312" w:cs="仿宋_GB2312"/>
                <w:b/>
                <w:i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521970</wp:posOffset>
                  </wp:positionH>
                  <wp:positionV relativeFrom="paragraph">
                    <wp:posOffset>0</wp:posOffset>
                  </wp:positionV>
                  <wp:extent cx="685800" cy="234315"/>
                  <wp:effectExtent l="0" t="0" r="0" b="0"/>
                  <wp:wrapNone/>
                  <wp:docPr id="9" name="Object_28_SpCnt_8"/>
                  <wp:cNvGraphicFramePr/>
                  <a:graphic xmlns:a="http://schemas.openxmlformats.org/drawingml/2006/main">
                    <a:graphicData uri="http://schemas.openxmlformats.org/drawingml/2006/picture">
                      <pic:pic xmlns:pic="http://schemas.openxmlformats.org/drawingml/2006/picture">
                        <pic:nvPicPr>
                          <pic:cNvPr id="9" name="Object_28_SpCnt_8"/>
                          <pic:cNvPicPr/>
                        </pic:nvPicPr>
                        <pic:blipFill>
                          <a:blip r:link="rId14"/>
                          <a:stretch>
                            <a:fillRect/>
                          </a:stretch>
                        </pic:blipFill>
                        <pic:spPr>
                          <a:xfrm>
                            <a:off x="0" y="0"/>
                            <a:ext cx="685800" cy="234315"/>
                          </a:xfrm>
                          <a:prstGeom prst="rect">
                            <a:avLst/>
                          </a:prstGeom>
                          <a:noFill/>
                          <a:ln>
                            <a:noFill/>
                          </a:ln>
                        </pic:spPr>
                      </pic:pic>
                    </a:graphicData>
                  </a:graphic>
                </wp:anchor>
              </w:drawing>
            </w:r>
            <w:r>
              <w:rPr>
                <w:rFonts w:hint="eastAsia" w:ascii="仿宋_GB2312" w:hAnsi="仿宋_GB2312" w:eastAsia="仿宋_GB2312" w:cs="仿宋_GB2312"/>
                <w:b/>
                <w:i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521970</wp:posOffset>
                  </wp:positionH>
                  <wp:positionV relativeFrom="paragraph">
                    <wp:posOffset>0</wp:posOffset>
                  </wp:positionV>
                  <wp:extent cx="685800" cy="487045"/>
                  <wp:effectExtent l="0" t="0" r="0" b="0"/>
                  <wp:wrapNone/>
                  <wp:docPr id="10" name="Object_28_SpCnt_9"/>
                  <wp:cNvGraphicFramePr/>
                  <a:graphic xmlns:a="http://schemas.openxmlformats.org/drawingml/2006/main">
                    <a:graphicData uri="http://schemas.openxmlformats.org/drawingml/2006/picture">
                      <pic:pic xmlns:pic="http://schemas.openxmlformats.org/drawingml/2006/picture">
                        <pic:nvPicPr>
                          <pic:cNvPr id="10" name="Object_28_SpCnt_9"/>
                          <pic:cNvPicPr/>
                        </pic:nvPicPr>
                        <pic:blipFill>
                          <a:blip r:link="rId15"/>
                          <a:stretch>
                            <a:fillRect/>
                          </a:stretch>
                        </pic:blipFill>
                        <pic:spPr>
                          <a:xfrm>
                            <a:off x="0" y="0"/>
                            <a:ext cx="685800" cy="487045"/>
                          </a:xfrm>
                          <a:prstGeom prst="rect">
                            <a:avLst/>
                          </a:prstGeom>
                          <a:noFill/>
                          <a:ln>
                            <a:noFill/>
                          </a:ln>
                        </pic:spPr>
                      </pic:pic>
                    </a:graphicData>
                  </a:graphic>
                </wp:anchor>
              </w:drawing>
            </w:r>
            <w:r>
              <w:rPr>
                <w:rFonts w:hint="eastAsia" w:ascii="仿宋_GB2312" w:hAnsi="仿宋_GB2312" w:eastAsia="仿宋_GB2312" w:cs="仿宋_GB2312"/>
                <w:b/>
                <w:i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521970</wp:posOffset>
                  </wp:positionH>
                  <wp:positionV relativeFrom="paragraph">
                    <wp:posOffset>0</wp:posOffset>
                  </wp:positionV>
                  <wp:extent cx="685800" cy="228600"/>
                  <wp:effectExtent l="0" t="0" r="0" b="0"/>
                  <wp:wrapNone/>
                  <wp:docPr id="11" name="Object_28_SpCnt_10"/>
                  <wp:cNvGraphicFramePr/>
                  <a:graphic xmlns:a="http://schemas.openxmlformats.org/drawingml/2006/main">
                    <a:graphicData uri="http://schemas.openxmlformats.org/drawingml/2006/picture">
                      <pic:pic xmlns:pic="http://schemas.openxmlformats.org/drawingml/2006/picture">
                        <pic:nvPicPr>
                          <pic:cNvPr id="11" name="Object_28_SpCnt_10"/>
                          <pic:cNvPicPr/>
                        </pic:nvPicPr>
                        <pic:blipFill>
                          <a:blip r:link="rId16"/>
                          <a:stretch>
                            <a:fillRect/>
                          </a:stretch>
                        </pic:blipFill>
                        <pic:spPr>
                          <a:xfrm>
                            <a:off x="0" y="0"/>
                            <a:ext cx="685800" cy="228600"/>
                          </a:xfrm>
                          <a:prstGeom prst="rect">
                            <a:avLst/>
                          </a:prstGeom>
                          <a:noFill/>
                          <a:ln>
                            <a:noFill/>
                          </a:ln>
                        </pic:spPr>
                      </pic:pic>
                    </a:graphicData>
                  </a:graphic>
                </wp:anchor>
              </w:drawing>
            </w:r>
            <w:r>
              <w:rPr>
                <w:rFonts w:hint="eastAsia" w:ascii="仿宋_GB2312" w:hAnsi="仿宋_GB2312" w:eastAsia="仿宋_GB2312" w:cs="仿宋_GB2312"/>
                <w:b/>
                <w:i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521970</wp:posOffset>
                  </wp:positionH>
                  <wp:positionV relativeFrom="paragraph">
                    <wp:posOffset>0</wp:posOffset>
                  </wp:positionV>
                  <wp:extent cx="687705" cy="227965"/>
                  <wp:effectExtent l="0" t="0" r="0" b="0"/>
                  <wp:wrapNone/>
                  <wp:docPr id="6" name="Object_28_SpCnt_11"/>
                  <wp:cNvGraphicFramePr/>
                  <a:graphic xmlns:a="http://schemas.openxmlformats.org/drawingml/2006/main">
                    <a:graphicData uri="http://schemas.openxmlformats.org/drawingml/2006/picture">
                      <pic:pic xmlns:pic="http://schemas.openxmlformats.org/drawingml/2006/picture">
                        <pic:nvPicPr>
                          <pic:cNvPr id="6" name="Object_28_SpCnt_11"/>
                          <pic:cNvPicPr/>
                        </pic:nvPicPr>
                        <pic:blipFill>
                          <a:blip r:link="rId17"/>
                          <a:stretch>
                            <a:fillRect/>
                          </a:stretch>
                        </pic:blipFill>
                        <pic:spPr>
                          <a:xfrm>
                            <a:off x="0" y="0"/>
                            <a:ext cx="687705" cy="227965"/>
                          </a:xfrm>
                          <a:prstGeom prst="rect">
                            <a:avLst/>
                          </a:prstGeom>
                          <a:noFill/>
                          <a:ln>
                            <a:noFill/>
                          </a:ln>
                        </pic:spPr>
                      </pic:pic>
                    </a:graphicData>
                  </a:graphic>
                </wp:anchor>
              </w:drawing>
            </w:r>
            <w:r>
              <w:rPr>
                <w:rFonts w:hint="eastAsia" w:ascii="仿宋_GB2312" w:hAnsi="仿宋_GB2312" w:eastAsia="仿宋_GB2312" w:cs="仿宋_GB2312"/>
                <w:b/>
                <w:i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521970</wp:posOffset>
                  </wp:positionH>
                  <wp:positionV relativeFrom="paragraph">
                    <wp:posOffset>0</wp:posOffset>
                  </wp:positionV>
                  <wp:extent cx="685800" cy="377190"/>
                  <wp:effectExtent l="0" t="0" r="0" b="0"/>
                  <wp:wrapNone/>
                  <wp:docPr id="14" name="Object_28_SpCnt_12"/>
                  <wp:cNvGraphicFramePr/>
                  <a:graphic xmlns:a="http://schemas.openxmlformats.org/drawingml/2006/main">
                    <a:graphicData uri="http://schemas.openxmlformats.org/drawingml/2006/picture">
                      <pic:pic xmlns:pic="http://schemas.openxmlformats.org/drawingml/2006/picture">
                        <pic:nvPicPr>
                          <pic:cNvPr id="14" name="Object_28_SpCnt_12"/>
                          <pic:cNvPicPr/>
                        </pic:nvPicPr>
                        <pic:blipFill>
                          <a:blip r:link="rId18"/>
                          <a:stretch>
                            <a:fillRect/>
                          </a:stretch>
                        </pic:blipFill>
                        <pic:spPr>
                          <a:xfrm>
                            <a:off x="0" y="0"/>
                            <a:ext cx="685800" cy="377190"/>
                          </a:xfrm>
                          <a:prstGeom prst="rect">
                            <a:avLst/>
                          </a:prstGeom>
                          <a:noFill/>
                          <a:ln>
                            <a:noFill/>
                          </a:ln>
                        </pic:spPr>
                      </pic:pic>
                    </a:graphicData>
                  </a:graphic>
                </wp:anchor>
              </w:drawing>
            </w:r>
            <w:r>
              <w:rPr>
                <w:rFonts w:hint="eastAsia" w:ascii="仿宋_GB2312" w:hAnsi="仿宋_GB2312" w:eastAsia="仿宋_GB2312" w:cs="仿宋_GB2312"/>
                <w:b/>
                <w:i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521970</wp:posOffset>
                  </wp:positionH>
                  <wp:positionV relativeFrom="paragraph">
                    <wp:posOffset>0</wp:posOffset>
                  </wp:positionV>
                  <wp:extent cx="687070" cy="228600"/>
                  <wp:effectExtent l="0" t="0" r="0" b="0"/>
                  <wp:wrapNone/>
                  <wp:docPr id="15" name="Object_28_SpCnt_13"/>
                  <wp:cNvGraphicFramePr/>
                  <a:graphic xmlns:a="http://schemas.openxmlformats.org/drawingml/2006/main">
                    <a:graphicData uri="http://schemas.openxmlformats.org/drawingml/2006/picture">
                      <pic:pic xmlns:pic="http://schemas.openxmlformats.org/drawingml/2006/picture">
                        <pic:nvPicPr>
                          <pic:cNvPr id="15" name="Object_28_SpCnt_13"/>
                          <pic:cNvPicPr/>
                        </pic:nvPicPr>
                        <pic:blipFill>
                          <a:blip r:link="rId19"/>
                          <a:stretch>
                            <a:fillRect/>
                          </a:stretch>
                        </pic:blipFill>
                        <pic:spPr>
                          <a:xfrm>
                            <a:off x="0" y="0"/>
                            <a:ext cx="687070" cy="228600"/>
                          </a:xfrm>
                          <a:prstGeom prst="rect">
                            <a:avLst/>
                          </a:prstGeom>
                          <a:noFill/>
                          <a:ln>
                            <a:noFill/>
                          </a:ln>
                        </pic:spPr>
                      </pic:pic>
                    </a:graphicData>
                  </a:graphic>
                </wp:anchor>
              </w:drawing>
            </w:r>
            <w:r>
              <w:rPr>
                <w:rFonts w:hint="eastAsia" w:ascii="仿宋_GB2312" w:hAnsi="仿宋_GB2312" w:eastAsia="仿宋_GB2312" w:cs="仿宋_GB2312"/>
                <w:b/>
                <w:i w:val="0"/>
                <w:color w:val="000000"/>
                <w:kern w:val="0"/>
                <w:sz w:val="24"/>
                <w:szCs w:val="24"/>
                <w:u w:val="none"/>
                <w:bdr w:val="none" w:color="auto" w:sz="0" w:space="0"/>
                <w:lang w:val="en-US" w:eastAsia="zh-CN" w:bidi="ar"/>
              </w:rPr>
              <w:t>二、永锋临港铁水测温取样机器人施工量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序号</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施工名称</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规格型号</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单位</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数量</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单价</w:t>
            </w: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合价</w:t>
            </w: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机器人本体安装</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ABB IRB6700-150/3.2</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装车，卸车，安装，安装在机器人地轨上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61"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机器人地轨安装</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每台长度约20米，分多段，包含雷达支架及雷达固定</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装车，卸车，安装在测温平台上，需进行拼接，与平台焊接，需要调平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机器人枪杆安装</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LGDZ_CW_4700</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套</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装车，卸车，安装，安装在机器人上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4</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控制柜安装</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尺寸(长*宽*高，mm):1600*800*1800</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装车，卸车，安装在测温平台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5</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测温取样料仓安装</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尺寸(长*宽*高，mm):1800*1200*2100</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装车，卸车，安装在测温平台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6</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破渣枪安装</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高度约7米，重量约2T</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6</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装车，卸车，安装在测温平台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7</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破样装置安装</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尺寸(长*宽*高，mm):1400*1400*2150</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套</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装车，卸车，安装在测温平台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9"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8</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输送装置安装</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链条输送，分多段，每段约2米，需拼装，安装链条，总长约40米，拼装为两段</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套</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装车，卸车，拼装，安装在测温平台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9</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送样机器人安装</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约40kg</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装车，卸车，安装在底座上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10</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送样机器人底座安装</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高度500mm</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装车，卸车，安装在测温平台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11</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开关盖装置安装</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装车，卸车，安装在测温平台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12</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操作箱安装</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尺寸(长*宽*高，mm):360*400*180</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装车，卸车，挂在安全围栏上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13</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测温表安装</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装车，卸车，挂在围栏上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14</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摄像头安装</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4</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15</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电脑桌安装</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包含上位机、硬盘录像机等</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装车，卸车，安装在操作室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16</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55寸屏安装</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装车，卸车，安装在操作室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61"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17</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安全围栏安装</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分多段安装，总长约26.4米，共包含5个安全门</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套</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装车，卸车，安装，与平台焊接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61"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18</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光缆敷设</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8芯光缆</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100*4</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装车，卸车，放线，需走桥架或穿镀锌管防护，熔接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19</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主电源</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3*16+2*10</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150*2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装车，卸车，放线，现场电源接口到PLC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1"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20</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机器人编码器线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装车，卸车，放线，机器人到PLC柜，走桥架、地轨拖链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61"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21</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机器人动力线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装车，卸车，放线，机器人到PLC柜，走桥架、地轨拖链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1"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22</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地轨伺服动力线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30</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装车，卸车，放线，机器人到PLC柜，走桥架、地轨拖链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1"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23</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地轨伺服编码器线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30</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装车，卸车，放线，机器人到PLC柜，走桥架、地轨拖链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61"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24</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地轨伺服抱闸线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30</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装车，卸车，放线，机器人到PLC柜，走桥架、地轨拖链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25</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信号线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KVVRP 24*0.5</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15*4</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装车，卸车，放线，PLC到探头仓，走桥架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26</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动力线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KVVRP 4*4</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20*2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27</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网线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超五类</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20</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28</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气管</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φ12</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10*2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29</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信号线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KVVRP 24*0.5</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20*2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装车，卸车，放线，PLC到操作箱，走桥架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30</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网线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超五类</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20</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1"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31</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测温外补偿导线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2芯</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30*2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装车，卸车，放线，机器人到测温表，走桥架、地轨拖链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32</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信号线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KVVRP 4*0.5</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25*4</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装车，卸车，放线，PLC到测温表，走桥架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33</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信号线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RVV3*0.5</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25*2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34</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信号线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RVV 2*1.0</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18*4</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装车，卸车，放线，PLC到安全门锁，走桥架或穿管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35</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信号线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RVV 2*1.0</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30</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36</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信号线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KVVRP 6*0.5</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30*2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装车，卸车，放线，PLC到三色灯，走桥架或穿管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37</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信号线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RVV10*0.5</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15*6</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装车，卸车，放线，PLC到破渣枪，走桥架或穿管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38</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动力线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KVVRP 4*4</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15*6</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39</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动力线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KVVRP 4*4</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20*2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装车，卸车，放线，PLC到破样装置，走桥架或穿管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40</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网线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超五类</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20</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41</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气管</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φ12</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15*2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42</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动力线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KVVRP 4*4</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20*2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装车，卸车，放线，PLC到输送链，走桥架或穿管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43</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信号线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KVVRP 24*0.5</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20+40</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44</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相机电源</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RVV3*0.5</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40*4</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装车，卸车，放线，PLC到相机，走桥架或穿管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45</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网线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超五类</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40*4</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1"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46</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动力线</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KVVRP 4*4</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30</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装车，卸车，放线，PLC到风动送样机器人，走桥架或穿管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47</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pu气管</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φ12</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50</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装车，卸车，敷设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48</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pu气管</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φ8</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50</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装车，卸车，敷设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61"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49</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敷设桥架</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100*150</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150（预估）</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卸车，敷设，安装固定，如悬空需制作角铁支架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50</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穿线波纹管</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套</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提供部分穿线波纹管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51</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防火泥</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系统PLC柜进线口封堵</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提供防火泥封堵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52</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汽车吊</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将设备吊运至8.4米平台</w:t>
            </w:r>
          </w:p>
        </w:tc>
        <w:tc>
          <w:tcPr>
            <w:tcW w:w="5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宗</w:t>
            </w:r>
          </w:p>
        </w:tc>
        <w:tc>
          <w:tcPr>
            <w:tcW w:w="7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现场无行车，需施工方提供汽车吊等吊运设备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53</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风动送样设备改造</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宗</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开关门拆除，自动横移门安装，限位移位等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61" w:hRule="atLeast"/>
        </w:trPr>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54</w:t>
            </w:r>
          </w:p>
        </w:tc>
        <w:tc>
          <w:tcPr>
            <w:tcW w:w="1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施工及设备包装废弃物清理</w:t>
            </w:r>
          </w:p>
        </w:tc>
        <w:tc>
          <w:tcPr>
            <w:tcW w:w="3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宗</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46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bdr w:val="none" w:color="auto" w:sz="0" w:space="0"/>
                <w:lang w:val="en-US" w:eastAsia="zh-CN" w:bidi="ar"/>
              </w:rPr>
              <w:t>定时将废弃物清运到指定位置或按照甲方要求运出厂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2" w:hRule="atLeast"/>
        </w:trPr>
        <w:tc>
          <w:tcPr>
            <w:tcW w:w="13900" w:type="dxa"/>
            <w:gridSpan w:val="8"/>
            <w:vMerge w:val="restart"/>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b/>
                <w:bCs/>
                <w:i w:val="0"/>
                <w:color w:val="000000"/>
                <w:kern w:val="0"/>
                <w:sz w:val="20"/>
                <w:szCs w:val="20"/>
                <w:u w:val="none"/>
                <w:bdr w:val="none" w:color="auto" w:sz="0" w:space="0"/>
                <w:lang w:val="en-US" w:eastAsia="zh-CN" w:bidi="ar"/>
              </w:rPr>
              <w:t>注：报价说明：</w:t>
            </w:r>
            <w:r>
              <w:rPr>
                <w:rFonts w:hint="eastAsia" w:ascii="仿宋_GB2312" w:hAnsi="仿宋_GB2312" w:eastAsia="仿宋_GB2312" w:cs="仿宋_GB2312"/>
                <w:b/>
                <w:bCs/>
                <w:i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b/>
                <w:bCs/>
                <w:i w:val="0"/>
                <w:color w:val="000000"/>
                <w:kern w:val="0"/>
                <w:sz w:val="20"/>
                <w:szCs w:val="20"/>
                <w:u w:val="none"/>
                <w:bdr w:val="none" w:color="auto" w:sz="0" w:space="0"/>
                <w:lang w:val="en-US" w:eastAsia="zh-CN" w:bidi="ar"/>
              </w:rPr>
              <w:t>1、报价为含税价9%。</w:t>
            </w:r>
            <w:r>
              <w:rPr>
                <w:rFonts w:hint="eastAsia" w:ascii="仿宋_GB2312" w:hAnsi="仿宋_GB2312" w:eastAsia="仿宋_GB2312" w:cs="仿宋_GB2312"/>
                <w:b/>
                <w:bCs/>
                <w:i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b/>
                <w:bCs/>
                <w:i w:val="0"/>
                <w:color w:val="000000"/>
                <w:kern w:val="0"/>
                <w:sz w:val="20"/>
                <w:szCs w:val="20"/>
                <w:u w:val="none"/>
                <w:bdr w:val="none" w:color="auto" w:sz="0" w:space="0"/>
                <w:lang w:val="en-US" w:eastAsia="zh-CN" w:bidi="ar"/>
              </w:rPr>
              <w:t>2、作业涉及到的特种作业证要齐全（主要包含电焊、高处、低压电工、指吊证，必须有人同时有电焊和高处作业证）。</w:t>
            </w:r>
            <w:r>
              <w:rPr>
                <w:rFonts w:hint="eastAsia" w:ascii="仿宋_GB2312" w:hAnsi="仿宋_GB2312" w:eastAsia="仿宋_GB2312" w:cs="仿宋_GB2312"/>
                <w:b/>
                <w:bCs/>
                <w:i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b/>
                <w:bCs/>
                <w:i w:val="0"/>
                <w:color w:val="000000"/>
                <w:kern w:val="0"/>
                <w:sz w:val="20"/>
                <w:szCs w:val="20"/>
                <w:u w:val="none"/>
                <w:bdr w:val="none" w:color="auto" w:sz="0" w:space="0"/>
                <w:lang w:val="en-US" w:eastAsia="zh-CN" w:bidi="ar"/>
              </w:rPr>
              <w:t>3、响应商要现场勘察，充分考虑现场施工量，施工量不予重新追加。</w:t>
            </w:r>
            <w:r>
              <w:rPr>
                <w:rFonts w:hint="eastAsia" w:ascii="仿宋_GB2312" w:hAnsi="仿宋_GB2312" w:eastAsia="仿宋_GB2312" w:cs="仿宋_GB2312"/>
                <w:b/>
                <w:bCs/>
                <w:i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b/>
                <w:bCs/>
                <w:i w:val="0"/>
                <w:color w:val="000000"/>
                <w:kern w:val="0"/>
                <w:sz w:val="20"/>
                <w:szCs w:val="20"/>
                <w:u w:val="none"/>
                <w:bdr w:val="none" w:color="auto" w:sz="0" w:space="0"/>
                <w:lang w:val="en-US" w:eastAsia="zh-CN" w:bidi="ar"/>
              </w:rPr>
              <w:t>4、部分设备需考虑地面开孔及钢结构平台加固。</w:t>
            </w:r>
            <w:r>
              <w:rPr>
                <w:rFonts w:hint="eastAsia" w:ascii="仿宋_GB2312" w:hAnsi="仿宋_GB2312" w:eastAsia="仿宋_GB2312" w:cs="仿宋_GB2312"/>
                <w:b/>
                <w:bCs/>
                <w:i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b/>
                <w:bCs/>
                <w:i w:val="0"/>
                <w:color w:val="000000"/>
                <w:kern w:val="0"/>
                <w:sz w:val="20"/>
                <w:szCs w:val="20"/>
                <w:u w:val="none"/>
                <w:bdr w:val="none" w:color="auto" w:sz="0" w:space="0"/>
                <w:lang w:val="en-US" w:eastAsia="zh-CN" w:bidi="ar"/>
              </w:rPr>
              <w:t>5、槽钢、金属软管、手阀、连接件等均由响应商提供。</w:t>
            </w:r>
            <w:r>
              <w:rPr>
                <w:rFonts w:hint="eastAsia" w:ascii="仿宋_GB2312" w:hAnsi="仿宋_GB2312" w:eastAsia="仿宋_GB2312" w:cs="仿宋_GB2312"/>
                <w:b/>
                <w:bCs/>
                <w:i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b/>
                <w:bCs/>
                <w:i w:val="0"/>
                <w:color w:val="000000"/>
                <w:kern w:val="0"/>
                <w:sz w:val="20"/>
                <w:szCs w:val="20"/>
                <w:u w:val="none"/>
                <w:bdr w:val="none" w:color="auto" w:sz="0" w:space="0"/>
                <w:lang w:val="en-US" w:eastAsia="zh-CN" w:bidi="ar"/>
              </w:rPr>
              <w:t>6、响应商负责采购人供应的设备、材料的倒运工作。</w:t>
            </w:r>
            <w:r>
              <w:rPr>
                <w:rFonts w:hint="eastAsia" w:ascii="仿宋_GB2312" w:hAnsi="仿宋_GB2312" w:eastAsia="仿宋_GB2312" w:cs="仿宋_GB2312"/>
                <w:b/>
                <w:bCs/>
                <w:i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b/>
                <w:bCs/>
                <w:i w:val="0"/>
                <w:color w:val="000000"/>
                <w:kern w:val="0"/>
                <w:sz w:val="20"/>
                <w:szCs w:val="20"/>
                <w:u w:val="none"/>
                <w:bdr w:val="none" w:color="auto" w:sz="0" w:space="0"/>
                <w:lang w:val="en-US" w:eastAsia="zh-CN" w:bidi="ar"/>
              </w:rPr>
              <w:t>7、该施工项目中所需电缆牌、线号管、扎带、胶布等现场施工辅材均由响应商自行购买，现场施工辅材不局限于上述材料。</w:t>
            </w:r>
            <w:r>
              <w:rPr>
                <w:rFonts w:hint="eastAsia" w:ascii="仿宋_GB2312" w:hAnsi="仿宋_GB2312" w:eastAsia="仿宋_GB2312" w:cs="仿宋_GB2312"/>
                <w:b/>
                <w:bCs/>
                <w:i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b/>
                <w:bCs/>
                <w:i w:val="0"/>
                <w:color w:val="000000"/>
                <w:kern w:val="0"/>
                <w:sz w:val="20"/>
                <w:szCs w:val="20"/>
                <w:u w:val="none"/>
                <w:bdr w:val="none" w:color="auto" w:sz="0" w:space="0"/>
                <w:lang w:val="en-US" w:eastAsia="zh-CN" w:bidi="ar"/>
              </w:rPr>
              <w:t>8、漆面受损后需按照原有漆色进行补漆。</w:t>
            </w:r>
            <w:r>
              <w:rPr>
                <w:rFonts w:hint="eastAsia" w:ascii="仿宋_GB2312" w:hAnsi="仿宋_GB2312" w:eastAsia="仿宋_GB2312" w:cs="仿宋_GB2312"/>
                <w:b/>
                <w:bCs/>
                <w:i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b/>
                <w:bCs/>
                <w:i w:val="0"/>
                <w:color w:val="000000"/>
                <w:kern w:val="0"/>
                <w:sz w:val="20"/>
                <w:szCs w:val="20"/>
                <w:u w:val="none"/>
                <w:bdr w:val="none" w:color="auto" w:sz="0" w:space="0"/>
                <w:lang w:val="en-US" w:eastAsia="zh-CN" w:bidi="ar"/>
              </w:rPr>
              <w:t>9、响应商负责施工现场的整理和清理工作，做到及时处理。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2" w:hRule="atLeast"/>
        </w:trPr>
        <w:tc>
          <w:tcPr>
            <w:tcW w:w="13900" w:type="dxa"/>
            <w:gridSpan w:val="8"/>
            <w:vMerge w:val="continue"/>
            <w:tcBorders>
              <w:top w:val="nil"/>
              <w:left w:val="nil"/>
              <w:bottom w:val="nil"/>
              <w:right w:val="nil"/>
            </w:tcBorders>
            <w:shd w:val="clear"/>
            <w:tcMar>
              <w:top w:w="15" w:type="dxa"/>
              <w:left w:w="15" w:type="dxa"/>
              <w:right w:w="15" w:type="dxa"/>
            </w:tcMar>
            <w:vAlign w:val="center"/>
          </w:tcPr>
          <w:p>
            <w:pP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3900" w:type="dxa"/>
            <w:gridSpan w:val="8"/>
            <w:vMerge w:val="continue"/>
            <w:tcBorders>
              <w:top w:val="nil"/>
              <w:left w:val="nil"/>
              <w:bottom w:val="nil"/>
              <w:right w:val="nil"/>
            </w:tcBorders>
            <w:shd w:val="clear"/>
            <w:tcMar>
              <w:top w:w="15" w:type="dxa"/>
              <w:left w:w="15" w:type="dxa"/>
              <w:right w:w="15" w:type="dxa"/>
            </w:tcMar>
            <w:vAlign w:val="center"/>
          </w:tcPr>
          <w:p>
            <w:pP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3900" w:type="dxa"/>
            <w:gridSpan w:val="8"/>
            <w:vMerge w:val="continue"/>
            <w:tcBorders>
              <w:top w:val="nil"/>
              <w:left w:val="nil"/>
              <w:bottom w:val="nil"/>
              <w:right w:val="nil"/>
            </w:tcBorders>
            <w:shd w:val="clear"/>
            <w:tcMar>
              <w:top w:w="15" w:type="dxa"/>
              <w:left w:w="15" w:type="dxa"/>
              <w:right w:w="15" w:type="dxa"/>
            </w:tcMar>
            <w:vAlign w:val="center"/>
          </w:tcPr>
          <w:p>
            <w:pP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2" w:hRule="atLeast"/>
        </w:trPr>
        <w:tc>
          <w:tcPr>
            <w:tcW w:w="13900" w:type="dxa"/>
            <w:gridSpan w:val="8"/>
            <w:vMerge w:val="continue"/>
            <w:tcBorders>
              <w:top w:val="nil"/>
              <w:left w:val="nil"/>
              <w:bottom w:val="nil"/>
              <w:right w:val="nil"/>
            </w:tcBorders>
            <w:shd w:val="clear"/>
            <w:tcMar>
              <w:top w:w="15" w:type="dxa"/>
              <w:left w:w="15" w:type="dxa"/>
              <w:right w:w="15" w:type="dxa"/>
            </w:tcMar>
            <w:vAlign w:val="center"/>
          </w:tcPr>
          <w:p>
            <w:pP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3900" w:type="dxa"/>
            <w:gridSpan w:val="8"/>
            <w:vMerge w:val="continue"/>
            <w:tcBorders>
              <w:top w:val="nil"/>
              <w:left w:val="nil"/>
              <w:bottom w:val="nil"/>
              <w:right w:val="nil"/>
            </w:tcBorders>
            <w:shd w:val="clear"/>
            <w:tcMar>
              <w:top w:w="15" w:type="dxa"/>
              <w:left w:w="15" w:type="dxa"/>
              <w:right w:w="15" w:type="dxa"/>
            </w:tcMar>
            <w:vAlign w:val="center"/>
          </w:tcPr>
          <w:p>
            <w:pP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2" w:hRule="atLeast"/>
        </w:trPr>
        <w:tc>
          <w:tcPr>
            <w:tcW w:w="13900" w:type="dxa"/>
            <w:gridSpan w:val="8"/>
            <w:vMerge w:val="continue"/>
            <w:tcBorders>
              <w:top w:val="nil"/>
              <w:left w:val="nil"/>
              <w:bottom w:val="nil"/>
              <w:right w:val="nil"/>
            </w:tcBorders>
            <w:shd w:val="clear"/>
            <w:tcMar>
              <w:top w:w="15" w:type="dxa"/>
              <w:left w:w="15" w:type="dxa"/>
              <w:right w:w="15" w:type="dxa"/>
            </w:tcMar>
            <w:vAlign w:val="center"/>
          </w:tcPr>
          <w:p>
            <w:pP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2" w:hRule="atLeast"/>
        </w:trPr>
        <w:tc>
          <w:tcPr>
            <w:tcW w:w="13900" w:type="dxa"/>
            <w:gridSpan w:val="8"/>
            <w:vMerge w:val="continue"/>
            <w:tcBorders>
              <w:top w:val="nil"/>
              <w:left w:val="nil"/>
              <w:bottom w:val="nil"/>
              <w:right w:val="nil"/>
            </w:tcBorders>
            <w:shd w:val="clear"/>
            <w:tcMar>
              <w:top w:w="15" w:type="dxa"/>
              <w:left w:w="15" w:type="dxa"/>
              <w:right w:w="15" w:type="dxa"/>
            </w:tcMar>
            <w:vAlign w:val="center"/>
          </w:tcPr>
          <w:p>
            <w:pP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2" w:hRule="atLeast"/>
        </w:trPr>
        <w:tc>
          <w:tcPr>
            <w:tcW w:w="13900" w:type="dxa"/>
            <w:gridSpan w:val="8"/>
            <w:vMerge w:val="continue"/>
            <w:tcBorders>
              <w:top w:val="nil"/>
              <w:left w:val="nil"/>
              <w:bottom w:val="nil"/>
              <w:right w:val="nil"/>
            </w:tcBorders>
            <w:shd w:val="clear"/>
            <w:tcMar>
              <w:top w:w="15" w:type="dxa"/>
              <w:left w:w="15" w:type="dxa"/>
              <w:right w:w="15" w:type="dxa"/>
            </w:tcMar>
            <w:vAlign w:val="center"/>
          </w:tcPr>
          <w:p>
            <w:pP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35" w:hRule="atLeast"/>
        </w:trPr>
        <w:tc>
          <w:tcPr>
            <w:tcW w:w="13900" w:type="dxa"/>
            <w:gridSpan w:val="8"/>
            <w:vMerge w:val="continue"/>
            <w:tcBorders>
              <w:top w:val="nil"/>
              <w:left w:val="nil"/>
              <w:bottom w:val="nil"/>
              <w:right w:val="nil"/>
            </w:tcBorders>
            <w:shd w:val="clear"/>
            <w:tcMar>
              <w:top w:w="15" w:type="dxa"/>
              <w:left w:w="15" w:type="dxa"/>
              <w:right w:w="15" w:type="dxa"/>
            </w:tcMar>
            <w:vAlign w:val="center"/>
          </w:tcPr>
          <w:p>
            <w:pPr>
              <w:rPr>
                <w:rFonts w:hint="eastAsia" w:ascii="仿宋_GB2312" w:hAnsi="仿宋_GB2312" w:eastAsia="仿宋_GB2312" w:cs="仿宋_GB2312"/>
                <w:i w:val="0"/>
                <w:color w:val="000000"/>
                <w:sz w:val="20"/>
                <w:szCs w:val="20"/>
                <w:u w:val="none"/>
              </w:rPr>
            </w:pPr>
          </w:p>
        </w:tc>
      </w:tr>
      <w:bookmarkEnd w:id="1"/>
    </w:tbl>
    <w:p>
      <w:pPr>
        <w:pStyle w:val="2"/>
        <w:jc w:val="left"/>
        <w:rPr>
          <w:rFonts w:hint="eastAsia"/>
          <w:lang w:val="en-US" w:eastAsia="zh-CN"/>
        </w:rPr>
      </w:pPr>
    </w:p>
    <w:p>
      <w:pPr>
        <w:pStyle w:val="2"/>
        <w:jc w:val="left"/>
        <w:rPr>
          <w:rFonts w:hint="eastAsia"/>
          <w:lang w:val="en-US" w:eastAsia="zh-CN"/>
        </w:rPr>
      </w:pPr>
    </w:p>
    <w:p>
      <w:pPr>
        <w:pStyle w:val="2"/>
        <w:rPr>
          <w:rFonts w:hint="default"/>
          <w:lang w:val="en-US" w:eastAsia="zh-CN"/>
        </w:rPr>
      </w:pPr>
    </w:p>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9274C2"/>
    <w:rsid w:val="029D65A1"/>
    <w:rsid w:val="029F506E"/>
    <w:rsid w:val="02A836B0"/>
    <w:rsid w:val="02B14251"/>
    <w:rsid w:val="02C84F5F"/>
    <w:rsid w:val="02DF21EF"/>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111040"/>
    <w:rsid w:val="04177193"/>
    <w:rsid w:val="045B52FD"/>
    <w:rsid w:val="045F18BD"/>
    <w:rsid w:val="04643DB1"/>
    <w:rsid w:val="04852E6D"/>
    <w:rsid w:val="049225C5"/>
    <w:rsid w:val="04B47443"/>
    <w:rsid w:val="04D50A9D"/>
    <w:rsid w:val="04E7766F"/>
    <w:rsid w:val="053029EB"/>
    <w:rsid w:val="053B2A87"/>
    <w:rsid w:val="054A37D9"/>
    <w:rsid w:val="05515CC6"/>
    <w:rsid w:val="05573613"/>
    <w:rsid w:val="05623DBF"/>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E33E4"/>
    <w:rsid w:val="08FD34C4"/>
    <w:rsid w:val="08FE78C6"/>
    <w:rsid w:val="09143258"/>
    <w:rsid w:val="09154BBB"/>
    <w:rsid w:val="093E020C"/>
    <w:rsid w:val="0948096E"/>
    <w:rsid w:val="095279E4"/>
    <w:rsid w:val="096404F2"/>
    <w:rsid w:val="096E3EE5"/>
    <w:rsid w:val="098625EC"/>
    <w:rsid w:val="099729DC"/>
    <w:rsid w:val="09D10140"/>
    <w:rsid w:val="09DC0846"/>
    <w:rsid w:val="09E43C48"/>
    <w:rsid w:val="0A0C24FF"/>
    <w:rsid w:val="0A12586F"/>
    <w:rsid w:val="0A141A8C"/>
    <w:rsid w:val="0A2C39C3"/>
    <w:rsid w:val="0A33367C"/>
    <w:rsid w:val="0A36214C"/>
    <w:rsid w:val="0A4F72C9"/>
    <w:rsid w:val="0A65454D"/>
    <w:rsid w:val="0A8263DE"/>
    <w:rsid w:val="0A8C39DA"/>
    <w:rsid w:val="0A9B747D"/>
    <w:rsid w:val="0AA42272"/>
    <w:rsid w:val="0B01369C"/>
    <w:rsid w:val="0B0D43A9"/>
    <w:rsid w:val="0B1511A8"/>
    <w:rsid w:val="0B2F7965"/>
    <w:rsid w:val="0B3D79D1"/>
    <w:rsid w:val="0B4126B2"/>
    <w:rsid w:val="0B4D79EA"/>
    <w:rsid w:val="0B510877"/>
    <w:rsid w:val="0B593F3D"/>
    <w:rsid w:val="0B6E61C8"/>
    <w:rsid w:val="0BF76ECF"/>
    <w:rsid w:val="0C1E2718"/>
    <w:rsid w:val="0C3F6E94"/>
    <w:rsid w:val="0C3F7165"/>
    <w:rsid w:val="0C4A1EDF"/>
    <w:rsid w:val="0C4F1BEB"/>
    <w:rsid w:val="0C4F6ADC"/>
    <w:rsid w:val="0C500235"/>
    <w:rsid w:val="0C582DED"/>
    <w:rsid w:val="0C5C3FDA"/>
    <w:rsid w:val="0C6C2BF0"/>
    <w:rsid w:val="0C7B3C36"/>
    <w:rsid w:val="0C8B7380"/>
    <w:rsid w:val="0C9A6662"/>
    <w:rsid w:val="0CB550D1"/>
    <w:rsid w:val="0CCB1635"/>
    <w:rsid w:val="0CE63A0D"/>
    <w:rsid w:val="0CEA7720"/>
    <w:rsid w:val="0CF83A72"/>
    <w:rsid w:val="0D0306A0"/>
    <w:rsid w:val="0D130F3C"/>
    <w:rsid w:val="0D252FC8"/>
    <w:rsid w:val="0D2C35BE"/>
    <w:rsid w:val="0D300614"/>
    <w:rsid w:val="0D3928BE"/>
    <w:rsid w:val="0D462435"/>
    <w:rsid w:val="0D4A01E3"/>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C1455"/>
    <w:rsid w:val="0ECC1935"/>
    <w:rsid w:val="0ECD0831"/>
    <w:rsid w:val="0ED37C49"/>
    <w:rsid w:val="0EE92F84"/>
    <w:rsid w:val="0EFC68D7"/>
    <w:rsid w:val="0F043EA4"/>
    <w:rsid w:val="0F1663E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313EB2"/>
    <w:rsid w:val="11320D25"/>
    <w:rsid w:val="11417B8A"/>
    <w:rsid w:val="114A1565"/>
    <w:rsid w:val="116D109E"/>
    <w:rsid w:val="11745D33"/>
    <w:rsid w:val="1184738A"/>
    <w:rsid w:val="11917437"/>
    <w:rsid w:val="11AC0C63"/>
    <w:rsid w:val="11CD08B7"/>
    <w:rsid w:val="11D26616"/>
    <w:rsid w:val="11D7429E"/>
    <w:rsid w:val="120B28BB"/>
    <w:rsid w:val="120B4AD1"/>
    <w:rsid w:val="12417EBC"/>
    <w:rsid w:val="12481006"/>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273EB"/>
    <w:rsid w:val="143A6CDD"/>
    <w:rsid w:val="14480E52"/>
    <w:rsid w:val="145076EE"/>
    <w:rsid w:val="145426CA"/>
    <w:rsid w:val="145F2E2A"/>
    <w:rsid w:val="147F6DC0"/>
    <w:rsid w:val="14874EB6"/>
    <w:rsid w:val="14997957"/>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F1919"/>
    <w:rsid w:val="1786191C"/>
    <w:rsid w:val="1787075A"/>
    <w:rsid w:val="17C6067D"/>
    <w:rsid w:val="17D00565"/>
    <w:rsid w:val="17D86098"/>
    <w:rsid w:val="17E52942"/>
    <w:rsid w:val="17E67B77"/>
    <w:rsid w:val="17EF198F"/>
    <w:rsid w:val="18270E2D"/>
    <w:rsid w:val="182D7EE0"/>
    <w:rsid w:val="183E32B2"/>
    <w:rsid w:val="184D6840"/>
    <w:rsid w:val="184D7F10"/>
    <w:rsid w:val="187645A8"/>
    <w:rsid w:val="1887017B"/>
    <w:rsid w:val="1889106A"/>
    <w:rsid w:val="1890372A"/>
    <w:rsid w:val="18A0619F"/>
    <w:rsid w:val="18B159B2"/>
    <w:rsid w:val="18BB7661"/>
    <w:rsid w:val="1918506F"/>
    <w:rsid w:val="192A2571"/>
    <w:rsid w:val="19744352"/>
    <w:rsid w:val="19782B0D"/>
    <w:rsid w:val="19C67F05"/>
    <w:rsid w:val="19FE146C"/>
    <w:rsid w:val="1A0166A8"/>
    <w:rsid w:val="1A0A4BD1"/>
    <w:rsid w:val="1A0F674F"/>
    <w:rsid w:val="1A336CCE"/>
    <w:rsid w:val="1A3D153E"/>
    <w:rsid w:val="1A721052"/>
    <w:rsid w:val="1A7C7171"/>
    <w:rsid w:val="1AB26DC2"/>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707488"/>
    <w:rsid w:val="1B7E184A"/>
    <w:rsid w:val="1B813309"/>
    <w:rsid w:val="1BB3260D"/>
    <w:rsid w:val="1BB35769"/>
    <w:rsid w:val="1BB65F0E"/>
    <w:rsid w:val="1BD65A66"/>
    <w:rsid w:val="1BF66301"/>
    <w:rsid w:val="1C1449DC"/>
    <w:rsid w:val="1C20539A"/>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AC33FB"/>
    <w:rsid w:val="20CE32DF"/>
    <w:rsid w:val="20DB25F5"/>
    <w:rsid w:val="20DF38BC"/>
    <w:rsid w:val="20EA32B4"/>
    <w:rsid w:val="210843BE"/>
    <w:rsid w:val="21121C8D"/>
    <w:rsid w:val="211B413F"/>
    <w:rsid w:val="211C6CC2"/>
    <w:rsid w:val="212F0B9C"/>
    <w:rsid w:val="21492C29"/>
    <w:rsid w:val="214E5699"/>
    <w:rsid w:val="21735C37"/>
    <w:rsid w:val="21782E7B"/>
    <w:rsid w:val="218801D3"/>
    <w:rsid w:val="218C25FD"/>
    <w:rsid w:val="218D40A7"/>
    <w:rsid w:val="21B46022"/>
    <w:rsid w:val="21CC0B1B"/>
    <w:rsid w:val="21D23C2E"/>
    <w:rsid w:val="22051684"/>
    <w:rsid w:val="221D1D08"/>
    <w:rsid w:val="2243745C"/>
    <w:rsid w:val="22626B81"/>
    <w:rsid w:val="22634DC9"/>
    <w:rsid w:val="226D7750"/>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7298B"/>
    <w:rsid w:val="24A97118"/>
    <w:rsid w:val="24B91EA0"/>
    <w:rsid w:val="24BA4FA4"/>
    <w:rsid w:val="24BE3147"/>
    <w:rsid w:val="24C2636B"/>
    <w:rsid w:val="24C84023"/>
    <w:rsid w:val="251025FB"/>
    <w:rsid w:val="25131036"/>
    <w:rsid w:val="251B78DF"/>
    <w:rsid w:val="254856B7"/>
    <w:rsid w:val="25772983"/>
    <w:rsid w:val="2579219E"/>
    <w:rsid w:val="25A4254E"/>
    <w:rsid w:val="25B25FD5"/>
    <w:rsid w:val="25CB4CC7"/>
    <w:rsid w:val="25D40DE3"/>
    <w:rsid w:val="25DC2203"/>
    <w:rsid w:val="25E11C68"/>
    <w:rsid w:val="25F2661C"/>
    <w:rsid w:val="26044D9C"/>
    <w:rsid w:val="26105F48"/>
    <w:rsid w:val="261533F3"/>
    <w:rsid w:val="26224A3A"/>
    <w:rsid w:val="262B6334"/>
    <w:rsid w:val="2639230F"/>
    <w:rsid w:val="26392C79"/>
    <w:rsid w:val="264E5A0E"/>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F54691"/>
    <w:rsid w:val="2A195291"/>
    <w:rsid w:val="2A1F6D8E"/>
    <w:rsid w:val="2A28123F"/>
    <w:rsid w:val="2A453BA0"/>
    <w:rsid w:val="2A461AE0"/>
    <w:rsid w:val="2A4E23F6"/>
    <w:rsid w:val="2A550FEC"/>
    <w:rsid w:val="2A552025"/>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A31B3"/>
    <w:rsid w:val="2BAE15C8"/>
    <w:rsid w:val="2C0B66D0"/>
    <w:rsid w:val="2C294ED6"/>
    <w:rsid w:val="2C337F6F"/>
    <w:rsid w:val="2C486B35"/>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E083E2E"/>
    <w:rsid w:val="2E3617EA"/>
    <w:rsid w:val="2E504203"/>
    <w:rsid w:val="2E5207E3"/>
    <w:rsid w:val="2E6A54AD"/>
    <w:rsid w:val="2E850DF6"/>
    <w:rsid w:val="2E93203E"/>
    <w:rsid w:val="2EB22716"/>
    <w:rsid w:val="2EC51FBF"/>
    <w:rsid w:val="2ECA2E0B"/>
    <w:rsid w:val="2ECE4FDA"/>
    <w:rsid w:val="2ED12994"/>
    <w:rsid w:val="2EDB5C78"/>
    <w:rsid w:val="2F101E96"/>
    <w:rsid w:val="2F111B28"/>
    <w:rsid w:val="2F3752FF"/>
    <w:rsid w:val="2F4F4551"/>
    <w:rsid w:val="2F511D30"/>
    <w:rsid w:val="2F6E25FB"/>
    <w:rsid w:val="2F811712"/>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A80329"/>
    <w:rsid w:val="33AA670F"/>
    <w:rsid w:val="33E477AC"/>
    <w:rsid w:val="33EE3838"/>
    <w:rsid w:val="33F0294E"/>
    <w:rsid w:val="34007F5C"/>
    <w:rsid w:val="34235D95"/>
    <w:rsid w:val="343A43BC"/>
    <w:rsid w:val="344911B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EA4219"/>
    <w:rsid w:val="35F2150E"/>
    <w:rsid w:val="35F27904"/>
    <w:rsid w:val="35FD3690"/>
    <w:rsid w:val="36136B64"/>
    <w:rsid w:val="361F7641"/>
    <w:rsid w:val="36367B80"/>
    <w:rsid w:val="3663419E"/>
    <w:rsid w:val="36B342CE"/>
    <w:rsid w:val="36B709A8"/>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813C8"/>
    <w:rsid w:val="386A5473"/>
    <w:rsid w:val="386B4E07"/>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77B70"/>
    <w:rsid w:val="39EB3FA5"/>
    <w:rsid w:val="39EE6B39"/>
    <w:rsid w:val="39FB7110"/>
    <w:rsid w:val="3A0A5B8D"/>
    <w:rsid w:val="3A4B7AEF"/>
    <w:rsid w:val="3A5F45D1"/>
    <w:rsid w:val="3A7231CC"/>
    <w:rsid w:val="3A740CF3"/>
    <w:rsid w:val="3A816713"/>
    <w:rsid w:val="3A895415"/>
    <w:rsid w:val="3A916DC6"/>
    <w:rsid w:val="3A9A73BC"/>
    <w:rsid w:val="3AB92B93"/>
    <w:rsid w:val="3AC53CFA"/>
    <w:rsid w:val="3ACB1702"/>
    <w:rsid w:val="3AD273C0"/>
    <w:rsid w:val="3AD71DD8"/>
    <w:rsid w:val="3AD94CE0"/>
    <w:rsid w:val="3ADB799E"/>
    <w:rsid w:val="3AE75B89"/>
    <w:rsid w:val="3B042DC5"/>
    <w:rsid w:val="3B0A3B62"/>
    <w:rsid w:val="3B1043F4"/>
    <w:rsid w:val="3B24688B"/>
    <w:rsid w:val="3B5649C1"/>
    <w:rsid w:val="3B651900"/>
    <w:rsid w:val="3B6D33FC"/>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B7BF7"/>
    <w:rsid w:val="3D0575D8"/>
    <w:rsid w:val="3D255ECD"/>
    <w:rsid w:val="3D38357E"/>
    <w:rsid w:val="3D601074"/>
    <w:rsid w:val="3D6066C5"/>
    <w:rsid w:val="3D696E73"/>
    <w:rsid w:val="3D7E2944"/>
    <w:rsid w:val="3D963C2A"/>
    <w:rsid w:val="3D9C4A0C"/>
    <w:rsid w:val="3D9F30A6"/>
    <w:rsid w:val="3DCB240B"/>
    <w:rsid w:val="3DCB426D"/>
    <w:rsid w:val="3DFE0E50"/>
    <w:rsid w:val="3E147A04"/>
    <w:rsid w:val="3E21383D"/>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744EE9"/>
    <w:rsid w:val="3F807449"/>
    <w:rsid w:val="3FA05CDE"/>
    <w:rsid w:val="3FBF58B4"/>
    <w:rsid w:val="3FDD4F4E"/>
    <w:rsid w:val="3FE47C11"/>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B58BF"/>
    <w:rsid w:val="43672D9B"/>
    <w:rsid w:val="43796CF1"/>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D04BE"/>
    <w:rsid w:val="476063A8"/>
    <w:rsid w:val="47775FCD"/>
    <w:rsid w:val="477E6212"/>
    <w:rsid w:val="47902173"/>
    <w:rsid w:val="47C92CB5"/>
    <w:rsid w:val="47D01EDF"/>
    <w:rsid w:val="47D768B0"/>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A565E2"/>
    <w:rsid w:val="49B52841"/>
    <w:rsid w:val="49C20E54"/>
    <w:rsid w:val="49ED3B00"/>
    <w:rsid w:val="49F643F3"/>
    <w:rsid w:val="4A0F30FF"/>
    <w:rsid w:val="4A36396B"/>
    <w:rsid w:val="4A587CA3"/>
    <w:rsid w:val="4A5E2A0E"/>
    <w:rsid w:val="4A744E94"/>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762608"/>
    <w:rsid w:val="4C8D23BE"/>
    <w:rsid w:val="4CEE7E98"/>
    <w:rsid w:val="4D053696"/>
    <w:rsid w:val="4D09267F"/>
    <w:rsid w:val="4D0C050F"/>
    <w:rsid w:val="4D1D2091"/>
    <w:rsid w:val="4D3B272E"/>
    <w:rsid w:val="4D6F0CC0"/>
    <w:rsid w:val="4D7417EA"/>
    <w:rsid w:val="4D8D289C"/>
    <w:rsid w:val="4D976433"/>
    <w:rsid w:val="4DA40D5D"/>
    <w:rsid w:val="4DBF75DD"/>
    <w:rsid w:val="4DD12E39"/>
    <w:rsid w:val="4E036E8C"/>
    <w:rsid w:val="4E1900C0"/>
    <w:rsid w:val="4E2A34C8"/>
    <w:rsid w:val="4E50718D"/>
    <w:rsid w:val="4E5A441A"/>
    <w:rsid w:val="4E5B0BA8"/>
    <w:rsid w:val="4E5D0527"/>
    <w:rsid w:val="4E7D1B36"/>
    <w:rsid w:val="4E7E08A4"/>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87D5C"/>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03356"/>
    <w:rsid w:val="5235696F"/>
    <w:rsid w:val="523C6A1A"/>
    <w:rsid w:val="523D7629"/>
    <w:rsid w:val="52433D04"/>
    <w:rsid w:val="524676D5"/>
    <w:rsid w:val="52552958"/>
    <w:rsid w:val="52697E93"/>
    <w:rsid w:val="527214DD"/>
    <w:rsid w:val="528E6BD3"/>
    <w:rsid w:val="52915652"/>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AE3EB5"/>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D478C7"/>
    <w:rsid w:val="59D8298A"/>
    <w:rsid w:val="5A0168E6"/>
    <w:rsid w:val="5A054747"/>
    <w:rsid w:val="5A0E034B"/>
    <w:rsid w:val="5A226FEB"/>
    <w:rsid w:val="5A2E70DE"/>
    <w:rsid w:val="5A36150F"/>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B840CF"/>
    <w:rsid w:val="5BD40D92"/>
    <w:rsid w:val="5C0A7E2A"/>
    <w:rsid w:val="5C12559D"/>
    <w:rsid w:val="5C247CFB"/>
    <w:rsid w:val="5C3E6765"/>
    <w:rsid w:val="5C416B95"/>
    <w:rsid w:val="5C49688F"/>
    <w:rsid w:val="5C4B60F3"/>
    <w:rsid w:val="5C4C0A58"/>
    <w:rsid w:val="5C4F1138"/>
    <w:rsid w:val="5C52370C"/>
    <w:rsid w:val="5C55644D"/>
    <w:rsid w:val="5C5D1C60"/>
    <w:rsid w:val="5C743C9D"/>
    <w:rsid w:val="5C7E3F62"/>
    <w:rsid w:val="5CBC2653"/>
    <w:rsid w:val="5CBE07DE"/>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636DFE"/>
    <w:rsid w:val="5E6501BB"/>
    <w:rsid w:val="5E731D75"/>
    <w:rsid w:val="5E83629B"/>
    <w:rsid w:val="5E9A46D0"/>
    <w:rsid w:val="5EAB005C"/>
    <w:rsid w:val="5EC8329B"/>
    <w:rsid w:val="5ED27806"/>
    <w:rsid w:val="5ED864A3"/>
    <w:rsid w:val="5EDF7736"/>
    <w:rsid w:val="5EF000A9"/>
    <w:rsid w:val="5F34063D"/>
    <w:rsid w:val="5F3F0B74"/>
    <w:rsid w:val="5F407FE4"/>
    <w:rsid w:val="5F54584D"/>
    <w:rsid w:val="5F71009E"/>
    <w:rsid w:val="5F735F2C"/>
    <w:rsid w:val="5F782D43"/>
    <w:rsid w:val="5F8B5C0B"/>
    <w:rsid w:val="5FBC4029"/>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E82346"/>
    <w:rsid w:val="60EC7728"/>
    <w:rsid w:val="60FC5A2B"/>
    <w:rsid w:val="61025102"/>
    <w:rsid w:val="611D70F4"/>
    <w:rsid w:val="613D1083"/>
    <w:rsid w:val="615D0EE2"/>
    <w:rsid w:val="61655B14"/>
    <w:rsid w:val="61715C13"/>
    <w:rsid w:val="61756916"/>
    <w:rsid w:val="61803A85"/>
    <w:rsid w:val="61852D58"/>
    <w:rsid w:val="61952396"/>
    <w:rsid w:val="61960C2C"/>
    <w:rsid w:val="61A876A2"/>
    <w:rsid w:val="61C56525"/>
    <w:rsid w:val="61E57958"/>
    <w:rsid w:val="6210546D"/>
    <w:rsid w:val="62312E0F"/>
    <w:rsid w:val="623311DA"/>
    <w:rsid w:val="62426B43"/>
    <w:rsid w:val="62536695"/>
    <w:rsid w:val="625B184E"/>
    <w:rsid w:val="627066C4"/>
    <w:rsid w:val="62776DF5"/>
    <w:rsid w:val="628D51F0"/>
    <w:rsid w:val="62A8441C"/>
    <w:rsid w:val="62AD515E"/>
    <w:rsid w:val="62AF2FF3"/>
    <w:rsid w:val="62E57173"/>
    <w:rsid w:val="62EA0BD1"/>
    <w:rsid w:val="62EC16AF"/>
    <w:rsid w:val="62F16356"/>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65214C"/>
    <w:rsid w:val="667C1264"/>
    <w:rsid w:val="667E5B60"/>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60610"/>
    <w:rsid w:val="678A0511"/>
    <w:rsid w:val="678F1525"/>
    <w:rsid w:val="67972778"/>
    <w:rsid w:val="67AB0C76"/>
    <w:rsid w:val="67CF24F3"/>
    <w:rsid w:val="67FB69AF"/>
    <w:rsid w:val="67FE1FE0"/>
    <w:rsid w:val="68525518"/>
    <w:rsid w:val="685A3509"/>
    <w:rsid w:val="685B0695"/>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F323C3"/>
    <w:rsid w:val="6F134DCC"/>
    <w:rsid w:val="6F1E7E49"/>
    <w:rsid w:val="6F273065"/>
    <w:rsid w:val="6F376C4C"/>
    <w:rsid w:val="6F776980"/>
    <w:rsid w:val="6F960F8E"/>
    <w:rsid w:val="6FA50623"/>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DA5631"/>
    <w:rsid w:val="70DD65B6"/>
    <w:rsid w:val="70F73EA9"/>
    <w:rsid w:val="70F8712E"/>
    <w:rsid w:val="71032079"/>
    <w:rsid w:val="71101544"/>
    <w:rsid w:val="715C4062"/>
    <w:rsid w:val="71643F7E"/>
    <w:rsid w:val="718F56A5"/>
    <w:rsid w:val="71A33EB6"/>
    <w:rsid w:val="71BB35D0"/>
    <w:rsid w:val="71D550C0"/>
    <w:rsid w:val="71D55CAE"/>
    <w:rsid w:val="720B4DDD"/>
    <w:rsid w:val="722E124F"/>
    <w:rsid w:val="723B79C1"/>
    <w:rsid w:val="72441F36"/>
    <w:rsid w:val="724657F5"/>
    <w:rsid w:val="725D6036"/>
    <w:rsid w:val="7264528B"/>
    <w:rsid w:val="72684162"/>
    <w:rsid w:val="729B5F6F"/>
    <w:rsid w:val="729C4CB7"/>
    <w:rsid w:val="72BC33E0"/>
    <w:rsid w:val="72DF433F"/>
    <w:rsid w:val="72EF1C33"/>
    <w:rsid w:val="72F61066"/>
    <w:rsid w:val="730C5078"/>
    <w:rsid w:val="731474DA"/>
    <w:rsid w:val="73177717"/>
    <w:rsid w:val="731D0B78"/>
    <w:rsid w:val="732706F9"/>
    <w:rsid w:val="73307A92"/>
    <w:rsid w:val="733C7452"/>
    <w:rsid w:val="733E2DF7"/>
    <w:rsid w:val="7365675A"/>
    <w:rsid w:val="736E5902"/>
    <w:rsid w:val="73AC3D6E"/>
    <w:rsid w:val="73C0334D"/>
    <w:rsid w:val="73C572FE"/>
    <w:rsid w:val="73EA3933"/>
    <w:rsid w:val="740B6060"/>
    <w:rsid w:val="741D3906"/>
    <w:rsid w:val="74284DD4"/>
    <w:rsid w:val="74445DEA"/>
    <w:rsid w:val="74460E0B"/>
    <w:rsid w:val="74562B12"/>
    <w:rsid w:val="745E14FC"/>
    <w:rsid w:val="746E6397"/>
    <w:rsid w:val="747C5886"/>
    <w:rsid w:val="74AB2C6E"/>
    <w:rsid w:val="74AC720C"/>
    <w:rsid w:val="74C1546A"/>
    <w:rsid w:val="74D42296"/>
    <w:rsid w:val="74ED3DF3"/>
    <w:rsid w:val="74F47137"/>
    <w:rsid w:val="74F72EF3"/>
    <w:rsid w:val="75105F56"/>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411C10"/>
    <w:rsid w:val="7646486B"/>
    <w:rsid w:val="76695BCF"/>
    <w:rsid w:val="76747363"/>
    <w:rsid w:val="767A275D"/>
    <w:rsid w:val="767D3A4C"/>
    <w:rsid w:val="768213C0"/>
    <w:rsid w:val="76875EB1"/>
    <w:rsid w:val="76C7316E"/>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A0A2C"/>
    <w:rsid w:val="789336DE"/>
    <w:rsid w:val="78A44C7D"/>
    <w:rsid w:val="78D30687"/>
    <w:rsid w:val="78E30843"/>
    <w:rsid w:val="78E86ACC"/>
    <w:rsid w:val="78E940ED"/>
    <w:rsid w:val="78ED15CC"/>
    <w:rsid w:val="79070D10"/>
    <w:rsid w:val="79110AD8"/>
    <w:rsid w:val="791F040D"/>
    <w:rsid w:val="792766A5"/>
    <w:rsid w:val="794A4B0B"/>
    <w:rsid w:val="794D23FB"/>
    <w:rsid w:val="795879A0"/>
    <w:rsid w:val="7969105B"/>
    <w:rsid w:val="797A0AB6"/>
    <w:rsid w:val="79A8211B"/>
    <w:rsid w:val="79C87103"/>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6B04AB"/>
    <w:rsid w:val="7C6B342B"/>
    <w:rsid w:val="7C976BC2"/>
    <w:rsid w:val="7CBF76AE"/>
    <w:rsid w:val="7CD655B8"/>
    <w:rsid w:val="7CD95DB0"/>
    <w:rsid w:val="7CEC3A98"/>
    <w:rsid w:val="7D5B67F7"/>
    <w:rsid w:val="7D7F0374"/>
    <w:rsid w:val="7D9B542E"/>
    <w:rsid w:val="7D9F1116"/>
    <w:rsid w:val="7DA442A6"/>
    <w:rsid w:val="7DB71F8C"/>
    <w:rsid w:val="7DC6777E"/>
    <w:rsid w:val="7DC96EDE"/>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4">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53"/>
    <w:qFormat/>
    <w:uiPriority w:val="0"/>
    <w:pPr>
      <w:keepNext/>
      <w:keepLines/>
      <w:spacing w:before="260" w:after="260" w:line="416" w:lineRule="auto"/>
      <w:outlineLvl w:val="2"/>
    </w:pPr>
    <w:rPr>
      <w:b/>
      <w:bCs/>
      <w:sz w:val="32"/>
      <w:szCs w:val="32"/>
    </w:rPr>
  </w:style>
  <w:style w:type="paragraph" w:styleId="6">
    <w:name w:val="heading 4"/>
    <w:basedOn w:val="7"/>
    <w:next w:val="7"/>
    <w:link w:val="56"/>
    <w:qFormat/>
    <w:uiPriority w:val="0"/>
    <w:pPr>
      <w:keepNext/>
      <w:keepLines/>
      <w:spacing w:before="100" w:beforeAutospacing="1" w:after="100" w:afterAutospacing="1" w:line="240" w:lineRule="auto"/>
      <w:ind w:firstLine="0"/>
      <w:jc w:val="left"/>
      <w:outlineLvl w:val="3"/>
    </w:pPr>
    <w:rPr>
      <w:b/>
    </w:rPr>
  </w:style>
  <w:style w:type="paragraph" w:styleId="9">
    <w:name w:val="heading 5"/>
    <w:basedOn w:val="7"/>
    <w:next w:val="7"/>
    <w:link w:val="57"/>
    <w:qFormat/>
    <w:uiPriority w:val="0"/>
    <w:pPr>
      <w:keepNext/>
      <w:keepLines/>
      <w:outlineLvl w:val="4"/>
    </w:pPr>
  </w:style>
  <w:style w:type="paragraph" w:styleId="10">
    <w:name w:val="heading 6"/>
    <w:basedOn w:val="7"/>
    <w:next w:val="7"/>
    <w:link w:val="58"/>
    <w:qFormat/>
    <w:uiPriority w:val="0"/>
    <w:pPr>
      <w:keepNext/>
      <w:keepLines/>
      <w:outlineLvl w:val="5"/>
    </w:pPr>
  </w:style>
  <w:style w:type="paragraph" w:styleId="11">
    <w:name w:val="heading 7"/>
    <w:basedOn w:val="7"/>
    <w:next w:val="7"/>
    <w:link w:val="59"/>
    <w:qFormat/>
    <w:uiPriority w:val="0"/>
    <w:pPr>
      <w:keepNext/>
      <w:keepLines/>
      <w:outlineLvl w:val="6"/>
    </w:pPr>
  </w:style>
  <w:style w:type="paragraph" w:styleId="12">
    <w:name w:val="heading 8"/>
    <w:basedOn w:val="7"/>
    <w:next w:val="7"/>
    <w:link w:val="60"/>
    <w:qFormat/>
    <w:uiPriority w:val="0"/>
    <w:pPr>
      <w:keepNext/>
      <w:keepLines/>
      <w:outlineLvl w:val="7"/>
    </w:pPr>
  </w:style>
  <w:style w:type="paragraph" w:styleId="13">
    <w:name w:val="heading 9"/>
    <w:basedOn w:val="7"/>
    <w:next w:val="7"/>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76"/>
    <w:qFormat/>
    <w:uiPriority w:val="0"/>
    <w:pPr>
      <w:spacing w:before="240" w:after="60"/>
      <w:jc w:val="center"/>
      <w:outlineLvl w:val="0"/>
    </w:pPr>
    <w:rPr>
      <w:rFonts w:ascii="Arial" w:hAnsi="Arial"/>
      <w:b/>
      <w:bCs/>
      <w:sz w:val="32"/>
      <w:szCs w:val="32"/>
    </w:rPr>
  </w:style>
  <w:style w:type="paragraph" w:styleId="7">
    <w:name w:val="Body Text First Indent"/>
    <w:basedOn w:val="8"/>
    <w:link w:val="55"/>
    <w:qFormat/>
    <w:uiPriority w:val="0"/>
    <w:pPr>
      <w:adjustRightInd w:val="0"/>
      <w:spacing w:after="0" w:line="312" w:lineRule="auto"/>
      <w:ind w:firstLine="567"/>
      <w:textAlignment w:val="baseline"/>
    </w:pPr>
    <w:rPr>
      <w:sz w:val="28"/>
    </w:rPr>
  </w:style>
  <w:style w:type="paragraph" w:styleId="8">
    <w:name w:val="Body Text"/>
    <w:basedOn w:val="1"/>
    <w:next w:val="1"/>
    <w:link w:val="54"/>
    <w:unhideWhenUsed/>
    <w:qFormat/>
    <w:uiPriority w:val="99"/>
    <w:pPr>
      <w:spacing w:after="120"/>
    </w:pPr>
  </w:style>
  <w:style w:type="paragraph" w:styleId="14">
    <w:name w:val="toc 7"/>
    <w:basedOn w:val="1"/>
    <w:next w:val="1"/>
    <w:qFormat/>
    <w:uiPriority w:val="39"/>
    <w:pPr>
      <w:ind w:left="2520" w:leftChars="1200"/>
    </w:pPr>
  </w:style>
  <w:style w:type="paragraph" w:styleId="15">
    <w:name w:val="Normal Indent"/>
    <w:basedOn w:val="1"/>
    <w:link w:val="62"/>
    <w:qFormat/>
    <w:uiPriority w:val="0"/>
    <w:pPr>
      <w:ind w:firstLine="420" w:firstLineChars="200"/>
    </w:pPr>
  </w:style>
  <w:style w:type="paragraph" w:styleId="16">
    <w:name w:val="caption"/>
    <w:basedOn w:val="1"/>
    <w:next w:val="1"/>
    <w:qFormat/>
    <w:uiPriority w:val="0"/>
    <w:rPr>
      <w:rFonts w:ascii="Cambria" w:hAnsi="Cambria" w:eastAsia="黑体"/>
      <w:sz w:val="20"/>
      <w:szCs w:val="20"/>
    </w:rPr>
  </w:style>
  <w:style w:type="paragraph" w:styleId="17">
    <w:name w:val="Document Map"/>
    <w:basedOn w:val="1"/>
    <w:link w:val="63"/>
    <w:unhideWhenUsed/>
    <w:qFormat/>
    <w:uiPriority w:val="0"/>
    <w:rPr>
      <w:rFonts w:ascii="宋体"/>
      <w:sz w:val="18"/>
      <w:szCs w:val="18"/>
    </w:rPr>
  </w:style>
  <w:style w:type="paragraph" w:styleId="18">
    <w:name w:val="annotation text"/>
    <w:basedOn w:val="1"/>
    <w:link w:val="64"/>
    <w:unhideWhenUsed/>
    <w:qFormat/>
    <w:uiPriority w:val="0"/>
    <w:pPr>
      <w:jc w:val="left"/>
    </w:pPr>
  </w:style>
  <w:style w:type="paragraph" w:styleId="19">
    <w:name w:val="Salutation"/>
    <w:basedOn w:val="1"/>
    <w:next w:val="1"/>
    <w:link w:val="65"/>
    <w:qFormat/>
    <w:uiPriority w:val="0"/>
    <w:pPr>
      <w:widowControl/>
    </w:pPr>
    <w:rPr>
      <w:rFonts w:ascii="Arial" w:hAnsi="Arial"/>
      <w:spacing w:val="-5"/>
      <w:kern w:val="0"/>
      <w:szCs w:val="20"/>
    </w:rPr>
  </w:style>
  <w:style w:type="paragraph" w:styleId="20">
    <w:name w:val="Body Text Indent"/>
    <w:basedOn w:val="1"/>
    <w:link w:val="66"/>
    <w:qFormat/>
    <w:uiPriority w:val="0"/>
    <w:pPr>
      <w:spacing w:after="120"/>
      <w:ind w:left="420"/>
    </w:pPr>
    <w:rPr>
      <w:sz w:val="21"/>
    </w:rPr>
  </w:style>
  <w:style w:type="paragraph" w:styleId="21">
    <w:name w:val="toc 5"/>
    <w:basedOn w:val="1"/>
    <w:next w:val="1"/>
    <w:qFormat/>
    <w:uiPriority w:val="39"/>
    <w:pPr>
      <w:ind w:left="1680" w:leftChars="800"/>
    </w:pPr>
  </w:style>
  <w:style w:type="paragraph" w:styleId="22">
    <w:name w:val="toc 3"/>
    <w:basedOn w:val="1"/>
    <w:next w:val="1"/>
    <w:qFormat/>
    <w:uiPriority w:val="0"/>
    <w:pPr>
      <w:ind w:left="840" w:leftChars="400"/>
    </w:pPr>
  </w:style>
  <w:style w:type="paragraph" w:styleId="23">
    <w:name w:val="Plain Text"/>
    <w:basedOn w:val="1"/>
    <w:link w:val="67"/>
    <w:qFormat/>
    <w:uiPriority w:val="0"/>
    <w:rPr>
      <w:rFonts w:ascii="宋体" w:hAnsi="Courier New"/>
      <w:sz w:val="21"/>
      <w:szCs w:val="21"/>
    </w:rPr>
  </w:style>
  <w:style w:type="paragraph" w:styleId="24">
    <w:name w:val="toc 8"/>
    <w:basedOn w:val="1"/>
    <w:next w:val="1"/>
    <w:qFormat/>
    <w:uiPriority w:val="39"/>
    <w:pPr>
      <w:ind w:left="2940" w:leftChars="1400"/>
    </w:pPr>
  </w:style>
  <w:style w:type="paragraph" w:styleId="25">
    <w:name w:val="Date"/>
    <w:basedOn w:val="1"/>
    <w:next w:val="1"/>
    <w:link w:val="68"/>
    <w:qFormat/>
    <w:uiPriority w:val="0"/>
    <w:pPr>
      <w:ind w:leftChars="2500"/>
    </w:pPr>
    <w:rPr>
      <w:rFonts w:ascii="仿宋_GB2312" w:hAnsi="宋体" w:eastAsia="仿宋_GB2312"/>
      <w:sz w:val="28"/>
      <w:szCs w:val="28"/>
    </w:rPr>
  </w:style>
  <w:style w:type="paragraph" w:styleId="26">
    <w:name w:val="Body Text Indent 2"/>
    <w:basedOn w:val="1"/>
    <w:link w:val="69"/>
    <w:qFormat/>
    <w:uiPriority w:val="0"/>
    <w:pPr>
      <w:spacing w:after="120" w:line="480" w:lineRule="auto"/>
      <w:ind w:left="420" w:leftChars="200"/>
    </w:pPr>
  </w:style>
  <w:style w:type="paragraph" w:styleId="27">
    <w:name w:val="Balloon Text"/>
    <w:basedOn w:val="1"/>
    <w:link w:val="70"/>
    <w:unhideWhenUsed/>
    <w:qFormat/>
    <w:uiPriority w:val="0"/>
    <w:pPr>
      <w:spacing w:line="240" w:lineRule="auto"/>
    </w:pPr>
    <w:rPr>
      <w:kern w:val="0"/>
      <w:sz w:val="18"/>
      <w:szCs w:val="18"/>
    </w:rPr>
  </w:style>
  <w:style w:type="paragraph" w:styleId="28">
    <w:name w:val="footer"/>
    <w:basedOn w:val="1"/>
    <w:link w:val="71"/>
    <w:qFormat/>
    <w:uiPriority w:val="99"/>
    <w:pPr>
      <w:tabs>
        <w:tab w:val="center" w:pos="4153"/>
        <w:tab w:val="right" w:pos="8306"/>
      </w:tabs>
      <w:snapToGrid w:val="0"/>
      <w:jc w:val="left"/>
    </w:pPr>
    <w:rPr>
      <w:sz w:val="18"/>
      <w:szCs w:val="18"/>
    </w:rPr>
  </w:style>
  <w:style w:type="paragraph" w:styleId="29">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jc w:val="left"/>
    </w:pPr>
    <w:rPr>
      <w:szCs w:val="20"/>
    </w:rPr>
  </w:style>
  <w:style w:type="paragraph" w:styleId="31">
    <w:name w:val="toc 4"/>
    <w:basedOn w:val="1"/>
    <w:next w:val="1"/>
    <w:qFormat/>
    <w:uiPriority w:val="39"/>
    <w:pPr>
      <w:ind w:left="1260" w:leftChars="600"/>
    </w:pPr>
  </w:style>
  <w:style w:type="paragraph" w:styleId="32">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3">
    <w:name w:val="toc 6"/>
    <w:basedOn w:val="1"/>
    <w:next w:val="1"/>
    <w:qFormat/>
    <w:uiPriority w:val="39"/>
    <w:pPr>
      <w:ind w:left="2100" w:leftChars="1000"/>
    </w:pPr>
  </w:style>
  <w:style w:type="paragraph" w:styleId="34">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5">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6">
    <w:name w:val="toc 9"/>
    <w:basedOn w:val="1"/>
    <w:next w:val="1"/>
    <w:qFormat/>
    <w:uiPriority w:val="39"/>
    <w:pPr>
      <w:ind w:left="3360" w:leftChars="1600"/>
    </w:pPr>
  </w:style>
  <w:style w:type="paragraph" w:styleId="37">
    <w:name w:val="Body Text 2"/>
    <w:basedOn w:val="1"/>
    <w:link w:val="75"/>
    <w:qFormat/>
    <w:uiPriority w:val="0"/>
    <w:pPr>
      <w:autoSpaceDE w:val="0"/>
      <w:autoSpaceDN w:val="0"/>
    </w:pPr>
    <w:rPr>
      <w:b/>
      <w:bCs/>
      <w:sz w:val="28"/>
      <w:szCs w:val="20"/>
    </w:rPr>
  </w:style>
  <w:style w:type="paragraph" w:styleId="38">
    <w:name w:val="Normal (Web)"/>
    <w:basedOn w:val="1"/>
    <w:next w:val="29"/>
    <w:qFormat/>
    <w:uiPriority w:val="99"/>
    <w:pPr>
      <w:widowControl/>
      <w:spacing w:before="100" w:beforeAutospacing="1" w:after="100" w:afterAutospacing="1" w:line="240" w:lineRule="auto"/>
      <w:jc w:val="left"/>
    </w:pPr>
    <w:rPr>
      <w:rFonts w:ascii="宋体" w:hAnsi="宋体" w:cs="宋体"/>
      <w:kern w:val="0"/>
    </w:rPr>
  </w:style>
  <w:style w:type="paragraph" w:styleId="39">
    <w:name w:val="annotation subject"/>
    <w:basedOn w:val="18"/>
    <w:next w:val="18"/>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8"/>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3"/>
    <w:qFormat/>
    <w:uiPriority w:val="0"/>
    <w:rPr>
      <w:rFonts w:ascii="Times New Roman" w:hAnsi="Times New Roman"/>
      <w:b/>
      <w:bCs/>
      <w:kern w:val="44"/>
      <w:sz w:val="44"/>
      <w:szCs w:val="44"/>
    </w:rPr>
  </w:style>
  <w:style w:type="character" w:customStyle="1" w:styleId="52">
    <w:name w:val="标题 2 Char"/>
    <w:link w:val="4"/>
    <w:qFormat/>
    <w:uiPriority w:val="0"/>
    <w:rPr>
      <w:rFonts w:ascii="Cambria" w:hAnsi="Cambria" w:eastAsia="宋体" w:cs="Times New Roman"/>
      <w:b/>
      <w:bCs/>
      <w:kern w:val="2"/>
      <w:sz w:val="32"/>
      <w:szCs w:val="32"/>
    </w:rPr>
  </w:style>
  <w:style w:type="character" w:customStyle="1" w:styleId="53">
    <w:name w:val="标题 3 Char"/>
    <w:link w:val="5"/>
    <w:qFormat/>
    <w:uiPriority w:val="0"/>
    <w:rPr>
      <w:rFonts w:ascii="Times New Roman" w:hAnsi="Times New Roman"/>
      <w:b/>
      <w:bCs/>
      <w:kern w:val="2"/>
      <w:sz w:val="32"/>
      <w:szCs w:val="32"/>
    </w:rPr>
  </w:style>
  <w:style w:type="character" w:customStyle="1" w:styleId="54">
    <w:name w:val="正文文本 Char3"/>
    <w:link w:val="8"/>
    <w:semiHidden/>
    <w:qFormat/>
    <w:uiPriority w:val="99"/>
    <w:rPr>
      <w:kern w:val="2"/>
      <w:sz w:val="24"/>
      <w:szCs w:val="24"/>
    </w:rPr>
  </w:style>
  <w:style w:type="character" w:customStyle="1" w:styleId="55">
    <w:name w:val="正文首行缩进 Char2"/>
    <w:link w:val="7"/>
    <w:qFormat/>
    <w:uiPriority w:val="0"/>
    <w:rPr>
      <w:kern w:val="2"/>
      <w:sz w:val="28"/>
      <w:szCs w:val="24"/>
    </w:rPr>
  </w:style>
  <w:style w:type="character" w:customStyle="1" w:styleId="56">
    <w:name w:val="标题 4 Char"/>
    <w:link w:val="6"/>
    <w:qFormat/>
    <w:uiPriority w:val="0"/>
    <w:rPr>
      <w:b/>
      <w:kern w:val="2"/>
      <w:sz w:val="28"/>
      <w:szCs w:val="24"/>
    </w:rPr>
  </w:style>
  <w:style w:type="character" w:customStyle="1" w:styleId="57">
    <w:name w:val="标题 5 Char"/>
    <w:link w:val="9"/>
    <w:qFormat/>
    <w:uiPriority w:val="0"/>
    <w:rPr>
      <w:kern w:val="2"/>
      <w:sz w:val="28"/>
      <w:szCs w:val="24"/>
    </w:rPr>
  </w:style>
  <w:style w:type="character" w:customStyle="1" w:styleId="58">
    <w:name w:val="标题 6 Char"/>
    <w:link w:val="10"/>
    <w:qFormat/>
    <w:uiPriority w:val="0"/>
    <w:rPr>
      <w:kern w:val="2"/>
      <w:sz w:val="28"/>
      <w:szCs w:val="24"/>
    </w:rPr>
  </w:style>
  <w:style w:type="character" w:customStyle="1" w:styleId="59">
    <w:name w:val="标题 7 Char"/>
    <w:link w:val="11"/>
    <w:qFormat/>
    <w:uiPriority w:val="0"/>
    <w:rPr>
      <w:kern w:val="2"/>
      <w:sz w:val="28"/>
      <w:szCs w:val="24"/>
    </w:rPr>
  </w:style>
  <w:style w:type="character" w:customStyle="1" w:styleId="60">
    <w:name w:val="标题 8 Char"/>
    <w:link w:val="12"/>
    <w:qFormat/>
    <w:uiPriority w:val="0"/>
    <w:rPr>
      <w:kern w:val="2"/>
      <w:sz w:val="28"/>
      <w:szCs w:val="24"/>
    </w:rPr>
  </w:style>
  <w:style w:type="character" w:customStyle="1" w:styleId="61">
    <w:name w:val="标题 9 Char"/>
    <w:link w:val="13"/>
    <w:qFormat/>
    <w:uiPriority w:val="0"/>
    <w:rPr>
      <w:kern w:val="2"/>
      <w:sz w:val="28"/>
      <w:szCs w:val="24"/>
    </w:rPr>
  </w:style>
  <w:style w:type="character" w:customStyle="1" w:styleId="62">
    <w:name w:val="正文缩进 Char"/>
    <w:link w:val="15"/>
    <w:qFormat/>
    <w:locked/>
    <w:uiPriority w:val="0"/>
    <w:rPr>
      <w:kern w:val="2"/>
      <w:sz w:val="24"/>
      <w:szCs w:val="24"/>
    </w:rPr>
  </w:style>
  <w:style w:type="character" w:customStyle="1" w:styleId="63">
    <w:name w:val="文档结构图 Char"/>
    <w:link w:val="17"/>
    <w:qFormat/>
    <w:uiPriority w:val="0"/>
    <w:rPr>
      <w:rFonts w:ascii="宋体" w:hAnsi="Times New Roman"/>
      <w:kern w:val="2"/>
      <w:sz w:val="18"/>
      <w:szCs w:val="18"/>
    </w:rPr>
  </w:style>
  <w:style w:type="character" w:customStyle="1" w:styleId="64">
    <w:name w:val="批注文字 Char4"/>
    <w:link w:val="18"/>
    <w:qFormat/>
    <w:uiPriority w:val="0"/>
    <w:rPr>
      <w:kern w:val="2"/>
      <w:sz w:val="24"/>
      <w:szCs w:val="24"/>
    </w:rPr>
  </w:style>
  <w:style w:type="character" w:customStyle="1" w:styleId="65">
    <w:name w:val="称呼 Char1"/>
    <w:link w:val="19"/>
    <w:qFormat/>
    <w:uiPriority w:val="0"/>
    <w:rPr>
      <w:rFonts w:ascii="Arial" w:hAnsi="Arial"/>
      <w:spacing w:val="-5"/>
      <w:sz w:val="24"/>
    </w:rPr>
  </w:style>
  <w:style w:type="character" w:customStyle="1" w:styleId="66">
    <w:name w:val="正文文本缩进 Char"/>
    <w:link w:val="20"/>
    <w:qFormat/>
    <w:uiPriority w:val="0"/>
    <w:rPr>
      <w:kern w:val="2"/>
      <w:sz w:val="21"/>
      <w:szCs w:val="24"/>
    </w:rPr>
  </w:style>
  <w:style w:type="character" w:customStyle="1" w:styleId="67">
    <w:name w:val="纯文本 Char"/>
    <w:link w:val="23"/>
    <w:qFormat/>
    <w:uiPriority w:val="0"/>
    <w:rPr>
      <w:rFonts w:ascii="宋体" w:hAnsi="Courier New" w:cs="Courier New"/>
      <w:kern w:val="2"/>
      <w:sz w:val="21"/>
      <w:szCs w:val="21"/>
    </w:rPr>
  </w:style>
  <w:style w:type="character" w:customStyle="1" w:styleId="68">
    <w:name w:val="日期 Char"/>
    <w:link w:val="25"/>
    <w:qFormat/>
    <w:uiPriority w:val="0"/>
    <w:rPr>
      <w:rFonts w:ascii="仿宋_GB2312" w:hAnsi="宋体" w:eastAsia="仿宋_GB2312"/>
      <w:kern w:val="2"/>
      <w:sz w:val="28"/>
      <w:szCs w:val="28"/>
    </w:rPr>
  </w:style>
  <w:style w:type="character" w:customStyle="1" w:styleId="69">
    <w:name w:val="正文文本缩进 2 Char1"/>
    <w:link w:val="26"/>
    <w:qFormat/>
    <w:uiPriority w:val="0"/>
    <w:rPr>
      <w:kern w:val="2"/>
      <w:sz w:val="24"/>
      <w:szCs w:val="24"/>
    </w:rPr>
  </w:style>
  <w:style w:type="character" w:customStyle="1" w:styleId="70">
    <w:name w:val="批注框文本 Char"/>
    <w:link w:val="27"/>
    <w:qFormat/>
    <w:uiPriority w:val="0"/>
    <w:rPr>
      <w:rFonts w:ascii="Times New Roman" w:hAnsi="Times New Roman" w:eastAsia="宋体" w:cs="Times New Roman"/>
      <w:sz w:val="18"/>
      <w:szCs w:val="18"/>
    </w:rPr>
  </w:style>
  <w:style w:type="character" w:customStyle="1" w:styleId="71">
    <w:name w:val="页脚 Char"/>
    <w:link w:val="28"/>
    <w:qFormat/>
    <w:uiPriority w:val="99"/>
    <w:rPr>
      <w:rFonts w:ascii="Times New Roman" w:hAnsi="Times New Roman"/>
      <w:kern w:val="2"/>
      <w:sz w:val="18"/>
      <w:szCs w:val="18"/>
    </w:rPr>
  </w:style>
  <w:style w:type="character" w:customStyle="1" w:styleId="72">
    <w:name w:val="页眉 Char"/>
    <w:link w:val="29"/>
    <w:qFormat/>
    <w:uiPriority w:val="99"/>
    <w:rPr>
      <w:rFonts w:ascii="Times New Roman" w:hAnsi="Times New Roman"/>
      <w:kern w:val="2"/>
      <w:sz w:val="18"/>
      <w:szCs w:val="18"/>
    </w:rPr>
  </w:style>
  <w:style w:type="character" w:customStyle="1" w:styleId="73">
    <w:name w:val="副标题 Char"/>
    <w:link w:val="32"/>
    <w:qFormat/>
    <w:uiPriority w:val="0"/>
    <w:rPr>
      <w:rFonts w:ascii="Cambria" w:hAnsi="Cambria"/>
      <w:b/>
      <w:bCs/>
      <w:kern w:val="28"/>
      <w:sz w:val="28"/>
      <w:szCs w:val="32"/>
    </w:rPr>
  </w:style>
  <w:style w:type="character" w:customStyle="1" w:styleId="74">
    <w:name w:val="正文文本缩进 3 Char"/>
    <w:link w:val="34"/>
    <w:qFormat/>
    <w:uiPriority w:val="0"/>
    <w:rPr>
      <w:rFonts w:ascii="宋体" w:hAnsi="Arial"/>
      <w:bCs/>
      <w:sz w:val="28"/>
    </w:rPr>
  </w:style>
  <w:style w:type="character" w:customStyle="1" w:styleId="75">
    <w:name w:val="正文文本 2 Char1"/>
    <w:link w:val="37"/>
    <w:qFormat/>
    <w:uiPriority w:val="0"/>
    <w:rPr>
      <w:b/>
      <w:bCs/>
      <w:kern w:val="2"/>
      <w:sz w:val="28"/>
    </w:rPr>
  </w:style>
  <w:style w:type="character" w:customStyle="1" w:styleId="76">
    <w:name w:val="标题 Char"/>
    <w:link w:val="2"/>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5"/>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5"/>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5"/>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3"/>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8"/>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3"/>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5"/>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3"/>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3"/>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20"/>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4"/>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6"/>
    <w:next w:val="15"/>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file:///C:\Users\ADMINI~1\AppData\Local\Temp\ksohtml\clip_image7378.png" TargetMode="External"/><Relationship Id="rId8" Type="http://schemas.openxmlformats.org/officeDocument/2006/relationships/image" Target="file:///C:\Users\ADMINI~1\AppData\Local\Temp\ksohtml\clip_image8594.png" TargetMode="External"/><Relationship Id="rId7" Type="http://schemas.openxmlformats.org/officeDocument/2006/relationships/image" Target="file:///C:\Users\ADMINI~1\AppData\Local\Temp\ksohtml\clip_image3724.png" TargetMode="External"/><Relationship Id="rId6" Type="http://schemas.openxmlformats.org/officeDocument/2006/relationships/image" Target="file:///C:\Users\ADMINI~1\AppData\Local\Temp\ksohtml\clip_image3.png" TargetMode="Externa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file:///C:\Users\ADMINI~1\AppData\Local\Temp\ksohtml\clip_image11.png" TargetMode="External"/><Relationship Id="rId18" Type="http://schemas.openxmlformats.org/officeDocument/2006/relationships/image" Target="file:///C:\Users\ADMINI~1\AppData\Local\Temp\ksohtml\clip_image12.png" TargetMode="External"/><Relationship Id="rId17" Type="http://schemas.openxmlformats.org/officeDocument/2006/relationships/image" Target="file:///C:\Users\ADMINI~1\AppData\Local\Temp\ksohtml\clip_image13.png" TargetMode="External"/><Relationship Id="rId16" Type="http://schemas.openxmlformats.org/officeDocument/2006/relationships/image" Target="file:///C:\Users\ADMINI~1\AppData\Local\Temp\ksohtml\clip_image10.png" TargetMode="External"/><Relationship Id="rId15" Type="http://schemas.openxmlformats.org/officeDocument/2006/relationships/image" Target="file:///C:\Users\ADMINI~1\AppData\Local\Temp\ksohtml\clip_image14.png" TargetMode="External"/><Relationship Id="rId14" Type="http://schemas.openxmlformats.org/officeDocument/2006/relationships/image" Target="file:///C:\Users\ADMINI~1\AppData\Local\Temp\ksohtml\clip_image15.png" TargetMode="External"/><Relationship Id="rId13" Type="http://schemas.openxmlformats.org/officeDocument/2006/relationships/image" Target="file:///C:\Users\ADMINI~1\AppData\Local\Temp\ksohtml\clip_image16.png" TargetMode="External"/><Relationship Id="rId12" Type="http://schemas.openxmlformats.org/officeDocument/2006/relationships/image" Target="file:///C:\Users\ADMINI~1\AppData\Local\Temp\ksohtml\clip_image4940.png" TargetMode="External"/><Relationship Id="rId11" Type="http://schemas.openxmlformats.org/officeDocument/2006/relationships/image" Target="file:///C:\Users\ADMINI~1\AppData\Local\Temp\ksohtml\clip_image5554.png" TargetMode="External"/><Relationship Id="rId10" Type="http://schemas.openxmlformats.org/officeDocument/2006/relationships/image" Target="file:///C:\Users\ADMINI~1\AppData\Local\Temp\ksohtml\clip_image1220.png" TargetMode="Externa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2173</Words>
  <Characters>3346</Characters>
  <Lines>19</Lines>
  <Paragraphs>5</Paragraphs>
  <TotalTime>3</TotalTime>
  <ScaleCrop>false</ScaleCrop>
  <LinksUpToDate>false</LinksUpToDate>
  <CharactersWithSpaces>3570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孙立伟.</cp:lastModifiedBy>
  <dcterms:modified xsi:type="dcterms:W3CDTF">2026-01-04T07:23:40Z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72B47633BDEC4A3CBCC4019DA782F3B1</vt:lpwstr>
  </property>
  <property fmtid="{D5CDD505-2E9C-101B-9397-08002B2CF9AE}" pid="4" name="KSOTemplateDocerSaveRecord">
    <vt:lpwstr>eyJoZGlkIjoiM2QwYmI2MDU3ZDhmNWE5YzJmM2I4NTc1NjUxODY2MjgiLCJ1c2VySWQiOiI0NDc2MjMzNTgifQ==</vt:lpwstr>
  </property>
</Properties>
</file>