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CCCCC">
      <w:pPr>
        <w:tabs>
          <w:tab w:val="left" w:pos="315"/>
          <w:tab w:val="left" w:pos="8820"/>
        </w:tabs>
        <w:ind w:right="267" w:rightChars="127"/>
        <w:jc w:val="center"/>
        <w:rPr>
          <w:rFonts w:hint="eastAsia" w:ascii="微软简标宋" w:eastAsia="黑体"/>
          <w:b/>
          <w:bCs/>
          <w:color w:val="000000"/>
          <w:sz w:val="52"/>
        </w:rPr>
      </w:pPr>
    </w:p>
    <w:p w14:paraId="3E8E45A6">
      <w:pPr>
        <w:pStyle w:val="2"/>
        <w:rPr>
          <w:rFonts w:hint="eastAsia" w:ascii="微软简标宋" w:hAnsi="Times New Roman" w:eastAsia="黑体"/>
          <w:b/>
          <w:bCs/>
          <w:color w:val="000000"/>
          <w:sz w:val="52"/>
        </w:rPr>
      </w:pPr>
    </w:p>
    <w:p w14:paraId="6495A8ED">
      <w:pPr>
        <w:rPr>
          <w:rFonts w:hint="eastAsia"/>
        </w:rPr>
      </w:pPr>
    </w:p>
    <w:p w14:paraId="0F0E3167">
      <w:pPr>
        <w:rPr>
          <w:rFonts w:hint="eastAsia"/>
        </w:rPr>
      </w:pPr>
    </w:p>
    <w:p w14:paraId="4853C0CC">
      <w:pPr>
        <w:tabs>
          <w:tab w:val="left" w:pos="315"/>
          <w:tab w:val="left" w:pos="8820"/>
        </w:tabs>
        <w:ind w:right="267" w:rightChars="127"/>
        <w:jc w:val="center"/>
        <w:rPr>
          <w:rFonts w:hint="eastAsia" w:ascii="微软简标宋" w:eastAsia="黑体"/>
          <w:b/>
          <w:bCs/>
          <w:color w:val="000000"/>
          <w:sz w:val="52"/>
        </w:rPr>
      </w:pPr>
      <w:r>
        <w:rPr>
          <w:rFonts w:hint="eastAsia" w:ascii="微软简标宋" w:eastAsia="黑体"/>
          <w:b/>
          <w:bCs/>
          <w:color w:val="000000"/>
          <w:sz w:val="52"/>
        </w:rPr>
        <w:t>山东金岭矿业股份有限公司</w:t>
      </w:r>
    </w:p>
    <w:p w14:paraId="075605B0">
      <w:pPr>
        <w:tabs>
          <w:tab w:val="left" w:pos="315"/>
          <w:tab w:val="left" w:pos="8820"/>
        </w:tabs>
        <w:ind w:right="267" w:rightChars="127"/>
        <w:jc w:val="center"/>
        <w:rPr>
          <w:rFonts w:ascii="微软简标宋" w:eastAsia="黑体"/>
          <w:b/>
          <w:bCs/>
          <w:color w:val="000000"/>
          <w:sz w:val="52"/>
        </w:rPr>
      </w:pPr>
      <w:r>
        <w:rPr>
          <w:rFonts w:hint="eastAsia" w:ascii="微软简标宋" w:eastAsia="黑体"/>
          <w:b/>
          <w:bCs/>
          <w:color w:val="000000"/>
          <w:sz w:val="52"/>
          <w:lang w:eastAsia="zh-CN"/>
        </w:rPr>
        <w:t>2026</w:t>
      </w:r>
      <w:r>
        <w:rPr>
          <w:rFonts w:hint="eastAsia" w:ascii="微软简标宋" w:eastAsia="黑体"/>
          <w:b/>
          <w:bCs/>
          <w:color w:val="000000"/>
          <w:sz w:val="52"/>
        </w:rPr>
        <w:t xml:space="preserve">年度补充医疗保险采购项目 </w:t>
      </w:r>
    </w:p>
    <w:p w14:paraId="04CA9623">
      <w:pPr>
        <w:spacing w:line="360" w:lineRule="auto"/>
        <w:jc w:val="center"/>
        <w:rPr>
          <w:rFonts w:ascii="等线" w:hAnsi="等线" w:eastAsia="等线" w:cs="黑体"/>
          <w:sz w:val="28"/>
          <w:szCs w:val="28"/>
        </w:rPr>
      </w:pPr>
    </w:p>
    <w:p w14:paraId="2C8E2934">
      <w:pPr>
        <w:spacing w:line="360" w:lineRule="auto"/>
        <w:jc w:val="center"/>
        <w:rPr>
          <w:rFonts w:ascii="等线" w:hAnsi="等线" w:eastAsia="等线" w:cs="黑体"/>
          <w:sz w:val="28"/>
          <w:szCs w:val="28"/>
        </w:rPr>
      </w:pPr>
      <w:r>
        <w:rPr>
          <w:rFonts w:hint="eastAsia" w:ascii="等线" w:hAnsi="等线" w:eastAsia="等线" w:cs="黑体"/>
          <w:sz w:val="28"/>
          <w:szCs w:val="28"/>
        </w:rPr>
        <w:t>（项目编号： 61196326010662）</w:t>
      </w:r>
    </w:p>
    <w:p w14:paraId="0217B6C9">
      <w:pPr>
        <w:rPr>
          <w:rFonts w:ascii="等线" w:hAnsi="等线" w:eastAsia="等线" w:cs="黑体"/>
          <w:sz w:val="28"/>
          <w:szCs w:val="28"/>
        </w:rPr>
      </w:pPr>
    </w:p>
    <w:p w14:paraId="0C535E6C">
      <w:pPr>
        <w:pStyle w:val="2"/>
        <w:ind w:firstLine="420"/>
      </w:pPr>
    </w:p>
    <w:p w14:paraId="3C97336B">
      <w:pPr>
        <w:ind w:firstLine="420"/>
      </w:pPr>
    </w:p>
    <w:p w14:paraId="769DC6BE">
      <w:pPr>
        <w:pStyle w:val="2"/>
        <w:ind w:firstLine="420"/>
      </w:pPr>
    </w:p>
    <w:p w14:paraId="2C337AA8">
      <w:pPr>
        <w:tabs>
          <w:tab w:val="left" w:pos="315"/>
          <w:tab w:val="left" w:pos="8820"/>
        </w:tabs>
        <w:ind w:right="267" w:rightChars="127"/>
        <w:jc w:val="center"/>
        <w:rPr>
          <w:rFonts w:hint="eastAsia" w:ascii="微软简标宋" w:eastAsia="黑体"/>
          <w:b/>
          <w:bCs/>
          <w:color w:val="000000"/>
          <w:sz w:val="52"/>
          <w:lang w:eastAsia="zh-CN"/>
        </w:rPr>
      </w:pPr>
      <w:r>
        <w:rPr>
          <w:rFonts w:hint="eastAsia" w:ascii="微软简标宋" w:eastAsia="黑体"/>
          <w:b/>
          <w:bCs/>
          <w:color w:val="000000"/>
          <w:sz w:val="52"/>
        </w:rPr>
        <w:t>竞争性谈判</w:t>
      </w:r>
      <w:r>
        <w:rPr>
          <w:rFonts w:hint="eastAsia" w:ascii="微软简标宋" w:eastAsia="黑体"/>
          <w:b/>
          <w:bCs/>
          <w:color w:val="000000"/>
          <w:sz w:val="52"/>
          <w:lang w:eastAsia="zh-CN"/>
        </w:rPr>
        <w:t>公告</w:t>
      </w:r>
    </w:p>
    <w:p w14:paraId="677CDB37">
      <w:pPr>
        <w:jc w:val="center"/>
        <w:rPr>
          <w:rFonts w:ascii="等线" w:hAnsi="等线" w:eastAsia="等线" w:cs="黑体"/>
          <w:sz w:val="52"/>
          <w:szCs w:val="52"/>
        </w:rPr>
      </w:pPr>
    </w:p>
    <w:p w14:paraId="61632374">
      <w:pPr>
        <w:rPr>
          <w:rFonts w:ascii="等线" w:hAnsi="等线" w:eastAsia="等线" w:cs="黑体"/>
          <w:sz w:val="30"/>
          <w:szCs w:val="30"/>
        </w:rPr>
      </w:pPr>
    </w:p>
    <w:p w14:paraId="49C99AE0">
      <w:pPr>
        <w:rPr>
          <w:rFonts w:ascii="等线" w:hAnsi="等线" w:eastAsia="等线" w:cs="黑体"/>
          <w:sz w:val="30"/>
          <w:szCs w:val="30"/>
        </w:rPr>
      </w:pPr>
    </w:p>
    <w:p w14:paraId="38AD1D6B">
      <w:pPr>
        <w:pStyle w:val="2"/>
        <w:ind w:firstLine="420"/>
      </w:pPr>
    </w:p>
    <w:p w14:paraId="5C2C9B3A">
      <w:pPr>
        <w:ind w:firstLine="420"/>
      </w:pPr>
    </w:p>
    <w:p w14:paraId="45D2603A">
      <w:pPr>
        <w:spacing w:line="720" w:lineRule="auto"/>
        <w:ind w:left="850" w:leftChars="405"/>
        <w:jc w:val="left"/>
        <w:rPr>
          <w:rFonts w:hint="eastAsia" w:ascii="等线" w:hAnsi="等线" w:eastAsia="等线" w:cs="黑体"/>
          <w:sz w:val="28"/>
          <w:szCs w:val="28"/>
          <w:u w:val="single"/>
        </w:rPr>
      </w:pPr>
      <w:r>
        <w:rPr>
          <w:rFonts w:hint="eastAsia" w:ascii="等线" w:hAnsi="等线" w:eastAsia="等线" w:cs="黑体"/>
          <w:sz w:val="28"/>
          <w:szCs w:val="28"/>
        </w:rPr>
        <w:t xml:space="preserve">            采购人：</w:t>
      </w:r>
      <w:r>
        <w:rPr>
          <w:rFonts w:hint="eastAsia" w:ascii="等线" w:hAnsi="等线" w:eastAsia="等线" w:cs="黑体"/>
          <w:sz w:val="28"/>
          <w:szCs w:val="28"/>
          <w:u w:val="single"/>
        </w:rPr>
        <w:t>山东金岭矿业股份有限公司</w:t>
      </w:r>
    </w:p>
    <w:p w14:paraId="3A35ACC6">
      <w:pPr>
        <w:spacing w:line="720" w:lineRule="auto"/>
        <w:ind w:firstLine="555"/>
        <w:jc w:val="center"/>
        <w:rPr>
          <w:rFonts w:ascii="等线" w:hAnsi="等线" w:eastAsia="等线" w:cs="黑体"/>
          <w:sz w:val="28"/>
          <w:szCs w:val="28"/>
        </w:rPr>
      </w:pPr>
      <w:r>
        <w:rPr>
          <w:rFonts w:hint="eastAsia" w:ascii="等线" w:hAnsi="等线" w:eastAsia="等线" w:cs="黑体"/>
          <w:sz w:val="28"/>
          <w:szCs w:val="28"/>
          <w:u w:val="single"/>
          <w:lang w:eastAsia="zh-CN"/>
        </w:rPr>
        <w:t>202</w:t>
      </w:r>
      <w:r>
        <w:rPr>
          <w:rFonts w:hint="eastAsia" w:ascii="等线" w:hAnsi="等线" w:eastAsia="等线" w:cs="黑体"/>
          <w:sz w:val="28"/>
          <w:szCs w:val="28"/>
          <w:u w:val="single"/>
          <w:lang w:val="en-US" w:eastAsia="zh-CN"/>
        </w:rPr>
        <w:t>6</w:t>
      </w:r>
      <w:r>
        <w:rPr>
          <w:rFonts w:hint="eastAsia" w:ascii="等线" w:hAnsi="等线" w:eastAsia="等线" w:cs="黑体"/>
          <w:sz w:val="28"/>
          <w:szCs w:val="28"/>
        </w:rPr>
        <w:t>年</w:t>
      </w:r>
      <w:r>
        <w:rPr>
          <w:rFonts w:hint="eastAsia" w:ascii="等线" w:hAnsi="等线" w:eastAsia="等线" w:cs="黑体"/>
          <w:sz w:val="28"/>
          <w:szCs w:val="28"/>
          <w:u w:val="single"/>
        </w:rPr>
        <w:t xml:space="preserve"> </w:t>
      </w:r>
      <w:r>
        <w:rPr>
          <w:rFonts w:hint="eastAsia" w:ascii="等线" w:hAnsi="等线" w:eastAsia="等线" w:cs="黑体"/>
          <w:sz w:val="28"/>
          <w:szCs w:val="28"/>
          <w:u w:val="single"/>
          <w:lang w:val="en-US" w:eastAsia="zh-CN"/>
        </w:rPr>
        <w:t>1</w:t>
      </w:r>
      <w:r>
        <w:rPr>
          <w:rFonts w:hint="eastAsia" w:ascii="等线" w:hAnsi="等线" w:eastAsia="等线" w:cs="黑体"/>
          <w:sz w:val="28"/>
          <w:szCs w:val="28"/>
          <w:u w:val="single"/>
        </w:rPr>
        <w:t xml:space="preserve"> </w:t>
      </w:r>
      <w:r>
        <w:rPr>
          <w:rFonts w:hint="eastAsia" w:ascii="等线" w:hAnsi="等线" w:eastAsia="等线" w:cs="黑体"/>
          <w:sz w:val="28"/>
          <w:szCs w:val="28"/>
        </w:rPr>
        <w:t>月</w:t>
      </w:r>
      <w:r>
        <w:rPr>
          <w:rFonts w:hint="eastAsia" w:ascii="等线" w:hAnsi="等线" w:eastAsia="等线" w:cs="黑体"/>
          <w:sz w:val="28"/>
          <w:szCs w:val="28"/>
          <w:u w:val="single"/>
        </w:rPr>
        <w:t xml:space="preserve"> </w:t>
      </w:r>
      <w:r>
        <w:rPr>
          <w:rFonts w:hint="eastAsia" w:ascii="等线" w:hAnsi="等线" w:eastAsia="等线" w:cs="黑体"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等线" w:hAnsi="等线" w:eastAsia="等线" w:cs="黑体"/>
          <w:sz w:val="28"/>
          <w:szCs w:val="28"/>
          <w:u w:val="single"/>
        </w:rPr>
        <w:t xml:space="preserve"> </w:t>
      </w:r>
      <w:r>
        <w:rPr>
          <w:rFonts w:hint="eastAsia" w:ascii="等线" w:hAnsi="等线" w:eastAsia="等线" w:cs="黑体"/>
          <w:sz w:val="28"/>
          <w:szCs w:val="28"/>
        </w:rPr>
        <w:t>日</w:t>
      </w:r>
    </w:p>
    <w:p w14:paraId="3B3F1A2E">
      <w:pPr>
        <w:spacing w:line="720" w:lineRule="auto"/>
        <w:ind w:firstLine="555"/>
        <w:jc w:val="center"/>
        <w:rPr>
          <w:rFonts w:ascii="等线" w:hAnsi="等线" w:eastAsia="等线" w:cs="黑体"/>
          <w:sz w:val="28"/>
          <w:szCs w:val="28"/>
        </w:rPr>
      </w:pPr>
    </w:p>
    <w:p w14:paraId="37079598"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ascii="宋体" w:hAnsi="宋体" w:cs="宋体"/>
          <w:b/>
          <w:color w:val="000000"/>
          <w:sz w:val="24"/>
          <w:szCs w:val="24"/>
          <w:lang w:val="zh-CN"/>
        </w:rPr>
      </w:pPr>
      <w:bookmarkStart w:id="5" w:name="_GoBack"/>
      <w:bookmarkEnd w:id="5"/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1.采购条件</w:t>
      </w:r>
    </w:p>
    <w:p w14:paraId="45695113">
      <w:pPr>
        <w:pStyle w:val="2"/>
        <w:spacing w:line="360" w:lineRule="auto"/>
        <w:rPr>
          <w:rFonts w:hAnsi="宋体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 w:hAnsi="宋体" w:cs="宋体"/>
          <w:color w:val="000000"/>
          <w:sz w:val="24"/>
          <w:szCs w:val="24"/>
          <w:u w:val="single"/>
          <w:lang w:val="zh-CN"/>
        </w:rPr>
        <w:t>山东金岭矿业股份有限公司</w:t>
      </w:r>
      <w:r>
        <w:rPr>
          <w:rFonts w:hint="eastAsia"/>
          <w:sz w:val="24"/>
          <w:szCs w:val="24"/>
          <w:u w:val="single"/>
          <w:lang w:eastAsia="zh-CN"/>
        </w:rPr>
        <w:t>2026</w:t>
      </w:r>
      <w:r>
        <w:rPr>
          <w:rFonts w:hint="eastAsia"/>
          <w:sz w:val="24"/>
          <w:szCs w:val="24"/>
          <w:u w:val="single"/>
        </w:rPr>
        <w:t>年度在册员工补充医疗保险</w:t>
      </w:r>
      <w:r>
        <w:rPr>
          <w:rFonts w:hint="eastAsia"/>
          <w:sz w:val="24"/>
          <w:szCs w:val="24"/>
        </w:rPr>
        <w:t>项目,采购人为</w:t>
      </w:r>
      <w:r>
        <w:rPr>
          <w:rFonts w:hint="eastAsia"/>
          <w:sz w:val="24"/>
          <w:szCs w:val="24"/>
          <w:u w:val="single"/>
        </w:rPr>
        <w:t xml:space="preserve"> 山东金岭矿业股份有限公司 </w:t>
      </w:r>
      <w:r>
        <w:rPr>
          <w:rFonts w:hint="eastAsia"/>
          <w:sz w:val="24"/>
          <w:szCs w:val="24"/>
        </w:rPr>
        <w:t>，采购项目资金来自</w:t>
      </w:r>
      <w:r>
        <w:rPr>
          <w:rFonts w:hint="eastAsia"/>
          <w:sz w:val="24"/>
          <w:szCs w:val="24"/>
          <w:u w:val="single"/>
        </w:rPr>
        <w:t>企业自筹</w:t>
      </w:r>
      <w:r>
        <w:rPr>
          <w:rFonts w:hint="eastAsia"/>
          <w:sz w:val="24"/>
          <w:szCs w:val="24"/>
        </w:rPr>
        <w:t>，出资比例为</w:t>
      </w:r>
      <w:r>
        <w:rPr>
          <w:rFonts w:hint="eastAsia"/>
          <w:sz w:val="24"/>
          <w:szCs w:val="24"/>
          <w:u w:val="single"/>
        </w:rPr>
        <w:t>100%</w:t>
      </w:r>
      <w:r>
        <w:rPr>
          <w:rFonts w:hint="eastAsia"/>
          <w:sz w:val="24"/>
          <w:szCs w:val="24"/>
        </w:rPr>
        <w:t>。该项目已具备采购条件，现对该项目进行竞争性谈判采购。</w:t>
      </w:r>
    </w:p>
    <w:p w14:paraId="1AE05F99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2.采购项目名称及内容：</w:t>
      </w:r>
    </w:p>
    <w:p w14:paraId="2CE1CFB4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  <w:u w:val="single"/>
          <w:lang w:val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zh-CN"/>
        </w:rPr>
        <w:t>2.1项目编号：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 xml:space="preserve">61196326010662 </w:t>
      </w:r>
    </w:p>
    <w:p w14:paraId="54A163A7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zh-CN"/>
        </w:rPr>
        <w:t>2.2项目名称：山东金岭矿业股份有限公司2026年度补充医疗保险采购项目</w:t>
      </w:r>
    </w:p>
    <w:p w14:paraId="089A71C8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zh-CN"/>
        </w:rPr>
        <w:t>2.3采购方式：竞争性谈判</w:t>
      </w:r>
    </w:p>
    <w:p w14:paraId="20D5A28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zh-CN"/>
        </w:rPr>
        <w:t>2.4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采购内容：山东金岭矿业股份有限公司、山东金岭铁矿有限公司、山东金召矿业有限公司、淄博铁鹰球团制造有限公司在册员工补充医疗保险服务。</w:t>
      </w:r>
    </w:p>
    <w:p w14:paraId="2999EE10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2.5本项目保险金额为280元/人/年。</w:t>
      </w:r>
    </w:p>
    <w:p w14:paraId="729209D7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2.6合同期限：一年</w:t>
      </w:r>
    </w:p>
    <w:p w14:paraId="243C7219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2.7保险责任期：自保险责任生效之日起至保险责任期完成止。</w:t>
      </w:r>
    </w:p>
    <w:p w14:paraId="0A171804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2.8服务地点：供应商须在淄博设有分支机构或服务地点。</w:t>
      </w:r>
    </w:p>
    <w:p w14:paraId="4D5F1B8A">
      <w:pPr>
        <w:adjustRightInd w:val="0"/>
        <w:snapToGrid w:val="0"/>
        <w:spacing w:line="360" w:lineRule="auto"/>
        <w:ind w:firstLine="487" w:firstLineChars="202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3.谈判供应商资格要求：</w:t>
      </w:r>
    </w:p>
    <w:p w14:paraId="5220CBFB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</w:rPr>
        <w:t>3.1谈判供应商</w:t>
      </w:r>
      <w:r>
        <w:rPr>
          <w:rFonts w:hint="eastAsia" w:ascii="宋体" w:hAnsi="宋体" w:cs="宋体"/>
          <w:sz w:val="24"/>
          <w:szCs w:val="24"/>
          <w:lang w:val="zh-CN"/>
        </w:rPr>
        <w:t>应为经批准设立的</w:t>
      </w:r>
      <w:r>
        <w:rPr>
          <w:rFonts w:hint="eastAsia" w:ascii="宋体" w:hAnsi="宋体" w:cs="宋体"/>
          <w:sz w:val="24"/>
          <w:szCs w:val="24"/>
        </w:rPr>
        <w:t>保险</w:t>
      </w:r>
      <w:r>
        <w:rPr>
          <w:rFonts w:hint="eastAsia" w:ascii="宋体" w:hAnsi="宋体" w:cs="宋体"/>
          <w:sz w:val="24"/>
          <w:szCs w:val="24"/>
          <w:lang w:val="zh-CN"/>
        </w:rPr>
        <w:t>公司的一级法人公司或经授权的</w:t>
      </w:r>
      <w:r>
        <w:rPr>
          <w:rFonts w:hint="eastAsia" w:ascii="宋体" w:hAnsi="宋体" w:cs="宋体"/>
          <w:sz w:val="24"/>
          <w:szCs w:val="24"/>
        </w:rPr>
        <w:t>山东</w:t>
      </w:r>
      <w:r>
        <w:rPr>
          <w:rFonts w:hint="eastAsia" w:ascii="宋体" w:hAnsi="宋体" w:cs="宋体"/>
          <w:sz w:val="24"/>
          <w:szCs w:val="24"/>
          <w:lang w:val="zh-CN"/>
        </w:rPr>
        <w:t>省</w:t>
      </w:r>
      <w:r>
        <w:rPr>
          <w:rFonts w:hint="eastAsia" w:ascii="宋体" w:hAnsi="宋体" w:cs="宋体"/>
          <w:sz w:val="24"/>
          <w:szCs w:val="24"/>
        </w:rPr>
        <w:t>省</w:t>
      </w:r>
      <w:r>
        <w:rPr>
          <w:rFonts w:hint="eastAsia" w:ascii="宋体" w:hAnsi="宋体" w:cs="宋体"/>
          <w:sz w:val="24"/>
          <w:szCs w:val="24"/>
          <w:lang w:val="zh-CN"/>
        </w:rPr>
        <w:t>级、</w:t>
      </w:r>
      <w:r>
        <w:rPr>
          <w:rFonts w:hint="eastAsia" w:ascii="宋体" w:hAnsi="宋体" w:cs="宋体"/>
          <w:sz w:val="24"/>
          <w:szCs w:val="24"/>
        </w:rPr>
        <w:t>市级</w:t>
      </w:r>
      <w:r>
        <w:rPr>
          <w:rFonts w:hint="eastAsia" w:ascii="宋体" w:hAnsi="宋体" w:cs="宋体"/>
          <w:sz w:val="24"/>
          <w:szCs w:val="24"/>
          <w:lang w:val="zh-CN"/>
        </w:rPr>
        <w:t>分公司，具备《中华人民共和国保险许可证》（或原《经营保险业务许可证》）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；</w:t>
      </w:r>
      <w:r>
        <w:rPr>
          <w:rFonts w:hint="eastAsia" w:ascii="宋体" w:hAnsi="宋体" w:cs="宋体"/>
          <w:sz w:val="24"/>
          <w:szCs w:val="24"/>
          <w:lang w:val="zh-CN"/>
        </w:rPr>
        <w:t>（1、提供一级法人公司、省级、</w:t>
      </w:r>
      <w:r>
        <w:rPr>
          <w:rFonts w:hint="eastAsia" w:ascii="宋体" w:hAnsi="宋体" w:cs="宋体"/>
          <w:sz w:val="24"/>
          <w:szCs w:val="24"/>
        </w:rPr>
        <w:t>市级</w:t>
      </w:r>
      <w:r>
        <w:rPr>
          <w:rFonts w:hint="eastAsia" w:ascii="宋体" w:hAnsi="宋体" w:cs="宋体"/>
          <w:sz w:val="24"/>
          <w:szCs w:val="24"/>
          <w:lang w:val="zh-CN"/>
        </w:rPr>
        <w:t>分支机构营业执照及相关证书复印件；2、分公司投标的，还须提供总公司授权书复印件）。本次</w:t>
      </w:r>
      <w:r>
        <w:rPr>
          <w:rFonts w:hint="eastAsia"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  <w:lang w:val="zh-CN"/>
        </w:rPr>
        <w:t>不接受保险代理机构投标，同一家保险公司的总公司和分支机构不能同时参与投标；</w:t>
      </w:r>
    </w:p>
    <w:p w14:paraId="61244DBC">
      <w:pPr>
        <w:spacing w:line="360" w:lineRule="auto"/>
        <w:ind w:firstLine="420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3.2谈判供应商财务状况良好，没有处于财产被没收、接管、破产或其他关、停、并、转的状态（须提供近三年（</w:t>
      </w:r>
      <w:r>
        <w:rPr>
          <w:rFonts w:hint="eastAsia" w:ascii="宋体" w:hAnsi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/202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/202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val="zh-CN"/>
        </w:rPr>
        <w:t>）财务报表（完整会计年度资产负债表和损益表）或财务审计报告）；如近期成立的企业提供成立至今的财务报表或报告；</w:t>
      </w:r>
    </w:p>
    <w:p w14:paraId="03B6FE49">
      <w:pPr>
        <w:spacing w:line="360" w:lineRule="auto"/>
        <w:ind w:firstLine="420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3.3业绩要求：谈判供应商须提供补充医疗保险项目</w:t>
      </w:r>
      <w:r>
        <w:rPr>
          <w:rFonts w:hint="eastAsia" w:ascii="宋体" w:hAnsi="宋体" w:cs="宋体"/>
          <w:sz w:val="24"/>
          <w:szCs w:val="24"/>
        </w:rPr>
        <w:t>类似服务</w:t>
      </w:r>
      <w:r>
        <w:rPr>
          <w:rFonts w:hint="eastAsia" w:ascii="宋体" w:hAnsi="宋体" w:cs="宋体"/>
          <w:sz w:val="24"/>
          <w:szCs w:val="24"/>
          <w:lang w:val="zh-CN"/>
        </w:rPr>
        <w:t>业绩至少</w:t>
      </w: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zh-CN"/>
        </w:rPr>
        <w:t>份（自2023年1月1日以来签署，或签署日期在2023年1月1日以前但评审时仍在服务期内的，且服务对象不少于100人的服务案例）（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以202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年1月至今的合</w:t>
      </w:r>
      <w:r>
        <w:rPr>
          <w:rFonts w:hint="eastAsia" w:ascii="宋体" w:hAnsi="宋体" w:cs="宋体"/>
          <w:sz w:val="24"/>
          <w:szCs w:val="24"/>
          <w:lang w:val="zh-CN"/>
        </w:rPr>
        <w:t xml:space="preserve">同为准，合同至少要包括：合同双方主体的基本信息页、合同约定工作内容页、合同签字页等）； </w:t>
      </w:r>
    </w:p>
    <w:p w14:paraId="29FFA1FC"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  <w:t>3.4谈判供应商未被“信用中国”网站列入失信被执行人、重大税收违法失信主体；（须提供网络截图并加盖公司公章）；</w:t>
      </w:r>
    </w:p>
    <w:p w14:paraId="575085DA"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  <w:t>本项目不接受联合体投标。</w:t>
      </w:r>
    </w:p>
    <w:p w14:paraId="050A7E1E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4.谈判文件发售办法：</w:t>
      </w:r>
    </w:p>
    <w:p w14:paraId="052E1A56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4.1本项目实行网上报名，网上发售电子版谈判文件。凡有意参加投标者，请于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b/>
          <w:bCs/>
          <w:kern w:val="0"/>
          <w:sz w:val="24"/>
          <w:szCs w:val="24"/>
          <w:u w:val="single"/>
          <w:lang w:eastAsia="zh-CN"/>
        </w:rPr>
        <w:t>202</w:t>
      </w:r>
      <w:r>
        <w:rPr>
          <w:rFonts w:hint="eastAsia"/>
          <w:b/>
          <w:bCs/>
          <w:kern w:val="0"/>
          <w:sz w:val="24"/>
          <w:szCs w:val="24"/>
          <w:u w:val="single"/>
          <w:lang w:val="en-US" w:eastAsia="zh-CN"/>
        </w:rPr>
        <w:t xml:space="preserve">6 </w:t>
      </w:r>
      <w:r>
        <w:rPr>
          <w:rFonts w:hint="eastAsia"/>
          <w:b/>
          <w:bCs/>
          <w:kern w:val="0"/>
          <w:sz w:val="24"/>
          <w:szCs w:val="24"/>
          <w:u w:val="single"/>
        </w:rPr>
        <w:t>年</w:t>
      </w:r>
      <w:r>
        <w:rPr>
          <w:rFonts w:hint="eastAsia"/>
          <w:b/>
          <w:bCs/>
          <w:kern w:val="0"/>
          <w:sz w:val="24"/>
          <w:szCs w:val="24"/>
          <w:u w:val="single"/>
          <w:lang w:val="en-US" w:eastAsia="zh-CN"/>
        </w:rPr>
        <w:t xml:space="preserve"> 1 </w:t>
      </w:r>
      <w:r>
        <w:rPr>
          <w:rFonts w:hint="eastAsia"/>
          <w:b/>
          <w:bCs/>
          <w:kern w:val="0"/>
          <w:sz w:val="24"/>
          <w:szCs w:val="24"/>
          <w:u w:val="single"/>
        </w:rPr>
        <w:t>月</w:t>
      </w:r>
      <w:r>
        <w:rPr>
          <w:rFonts w:hint="eastAsia"/>
          <w:b/>
          <w:bCs/>
          <w:kern w:val="0"/>
          <w:sz w:val="24"/>
          <w:szCs w:val="24"/>
          <w:u w:val="single"/>
          <w:lang w:val="en-US" w:eastAsia="zh-CN"/>
        </w:rPr>
        <w:t xml:space="preserve"> 7 </w:t>
      </w:r>
      <w:r>
        <w:rPr>
          <w:rFonts w:hint="eastAsia"/>
          <w:b/>
          <w:bCs/>
          <w:kern w:val="0"/>
          <w:sz w:val="24"/>
          <w:szCs w:val="24"/>
          <w:u w:val="single"/>
        </w:rPr>
        <w:t>日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至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b/>
          <w:bCs/>
          <w:kern w:val="0"/>
          <w:sz w:val="24"/>
          <w:szCs w:val="24"/>
          <w:u w:val="single"/>
          <w:lang w:eastAsia="zh-CN"/>
        </w:rPr>
        <w:t>202</w:t>
      </w:r>
      <w:r>
        <w:rPr>
          <w:rFonts w:hint="eastAsia"/>
          <w:b/>
          <w:bCs/>
          <w:kern w:val="0"/>
          <w:sz w:val="24"/>
          <w:szCs w:val="24"/>
          <w:u w:val="single"/>
          <w:lang w:val="en-US" w:eastAsia="zh-CN"/>
        </w:rPr>
        <w:t xml:space="preserve">6 </w:t>
      </w:r>
      <w:r>
        <w:rPr>
          <w:rFonts w:hint="eastAsia"/>
          <w:b/>
          <w:bCs/>
          <w:kern w:val="0"/>
          <w:sz w:val="24"/>
          <w:szCs w:val="24"/>
          <w:u w:val="single"/>
        </w:rPr>
        <w:t>年</w:t>
      </w:r>
      <w:r>
        <w:rPr>
          <w:rFonts w:hint="eastAsia"/>
          <w:b/>
          <w:bCs/>
          <w:kern w:val="0"/>
          <w:sz w:val="24"/>
          <w:szCs w:val="24"/>
          <w:u w:val="single"/>
          <w:lang w:val="en-US" w:eastAsia="zh-CN"/>
        </w:rPr>
        <w:t xml:space="preserve"> 1 </w:t>
      </w:r>
      <w:r>
        <w:rPr>
          <w:rFonts w:hint="eastAsia"/>
          <w:b/>
          <w:bCs/>
          <w:kern w:val="0"/>
          <w:sz w:val="24"/>
          <w:szCs w:val="24"/>
          <w:u w:val="single"/>
        </w:rPr>
        <w:t>月</w:t>
      </w:r>
      <w:r>
        <w:rPr>
          <w:rFonts w:hint="eastAsia"/>
          <w:b/>
          <w:bCs/>
          <w:kern w:val="0"/>
          <w:sz w:val="24"/>
          <w:szCs w:val="24"/>
          <w:u w:val="single"/>
          <w:lang w:val="en-US" w:eastAsia="zh-CN"/>
        </w:rPr>
        <w:t xml:space="preserve"> 9 </w:t>
      </w:r>
      <w:r>
        <w:rPr>
          <w:rFonts w:hint="eastAsia"/>
          <w:b/>
          <w:bCs/>
          <w:kern w:val="0"/>
          <w:sz w:val="24"/>
          <w:szCs w:val="24"/>
          <w:u w:val="single"/>
        </w:rPr>
        <w:t>日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登录</w:t>
      </w:r>
      <w:r>
        <w:rPr>
          <w:rFonts w:hint="eastAsia" w:ascii="宋体" w:hAnsi="宋体" w:cs="宋体"/>
          <w:kern w:val="0"/>
          <w:sz w:val="24"/>
          <w:szCs w:val="24"/>
        </w:rPr>
        <w:t>山钢集团阳光购销平台（http://bams.shansteelgroup.com/）,报名并购买下载电子版谈判文件。</w:t>
      </w:r>
    </w:p>
    <w:p w14:paraId="625FAA16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4.2未注册供应商，请登录山钢集团阳光购销平台（http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377FF464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4.3 谈判文件每包售价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200 </w:t>
      </w:r>
      <w:r>
        <w:rPr>
          <w:rFonts w:hint="eastAsia" w:ascii="宋体" w:hAnsi="宋体" w:cs="宋体"/>
          <w:kern w:val="0"/>
          <w:sz w:val="24"/>
          <w:szCs w:val="24"/>
        </w:rPr>
        <w:t>元，售后不退；从谈判供应商基本账户电汇或转账到采购人账户，并在银行汇款或转账备注栏中注明项目编号(后四位) 及款项性质（标书费）；否则，采购人有权不予确认，由此引起的后果由潜在谈判供应商承担。</w:t>
      </w:r>
    </w:p>
    <w:p w14:paraId="291F0222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标书费只开具收据不退还，谈判供应商交纳标书费后，采购人第二个工作日确认后,谈判供应商可直接用注册的账户和密码从网上下载谈判文件。</w:t>
      </w:r>
    </w:p>
    <w:p w14:paraId="76CC0929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采购人账户信息</w:t>
      </w:r>
    </w:p>
    <w:p w14:paraId="75791FC6">
      <w:pPr>
        <w:spacing w:line="360" w:lineRule="auto"/>
        <w:ind w:firstLine="42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账 户 名：山东金岭矿业股份有限公司  </w:t>
      </w:r>
    </w:p>
    <w:p w14:paraId="6E819855">
      <w:pPr>
        <w:spacing w:line="360" w:lineRule="auto"/>
        <w:ind w:firstLine="42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银行账号：1603065809201000694  </w:t>
      </w:r>
    </w:p>
    <w:p w14:paraId="671C1EA8">
      <w:pPr>
        <w:spacing w:line="360" w:lineRule="auto"/>
        <w:ind w:firstLine="42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开户银行：中国工商银行股份有限公司高新支行营业部</w:t>
      </w:r>
    </w:p>
    <w:p w14:paraId="26F0E816">
      <w:pPr>
        <w:autoSpaceDE w:val="0"/>
        <w:autoSpaceDN w:val="0"/>
        <w:adjustRightInd w:val="0"/>
        <w:spacing w:line="360" w:lineRule="auto"/>
        <w:ind w:left="0" w:right="0" w:firstLine="484" w:firstLineChars="202"/>
        <w:jc w:val="left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 xml:space="preserve">4.4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供应商缴纳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标书费后，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采购人将在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二个工作日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内完成费用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确认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。确认完成后，供应商可登录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山钢集团阳光购销平台下载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文件。</w:t>
      </w:r>
    </w:p>
    <w:p w14:paraId="38AEB311">
      <w:pPr>
        <w:autoSpaceDE w:val="0"/>
        <w:autoSpaceDN w:val="0"/>
        <w:adjustRightInd w:val="0"/>
        <w:spacing w:line="360" w:lineRule="auto"/>
        <w:ind w:left="0" w:right="0" w:firstLine="484" w:firstLineChars="202"/>
        <w:jc w:val="left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4.5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供应商如需开具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标书费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发票，须将开票信息（含单位名称、纳税人识别号、地址电话、开户行及账号）、发票类型（增值税专用发票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增值税普通发票）、费用转账记录等材料，发送至电子邮箱：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jlkyzbb@163.com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2A01C1DE">
      <w:pPr>
        <w:autoSpaceDE w:val="0"/>
        <w:autoSpaceDN w:val="0"/>
        <w:adjustRightInd w:val="0"/>
        <w:spacing w:line="360" w:lineRule="auto"/>
        <w:ind w:left="0" w:right="0" w:firstLine="484" w:firstLineChars="202"/>
        <w:jc w:val="left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4.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 xml:space="preserve"> 本项目不接受未购买本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文件的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投标。</w:t>
      </w:r>
    </w:p>
    <w:p w14:paraId="232F6E99">
      <w:pPr>
        <w:spacing w:line="360" w:lineRule="auto"/>
        <w:ind w:firstLine="422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五、响应文件的递交</w:t>
      </w:r>
    </w:p>
    <w:p w14:paraId="0E44FB6C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5.1谈判响应文件递交截止时间（开标时间）、地点。</w:t>
      </w:r>
    </w:p>
    <w:p w14:paraId="2007447F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5.1.1谈判响应文件递交截止时间(开标时间</w:t>
      </w:r>
      <w:r>
        <w:rPr>
          <w:rFonts w:hint="eastAsia" w:ascii="宋体" w:hAnsi="宋体" w:cs="宋体"/>
          <w:b/>
          <w:bCs/>
          <w:sz w:val="24"/>
          <w:szCs w:val="24"/>
        </w:rPr>
        <w:t>)：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/>
          <w:b/>
          <w:bCs/>
          <w:sz w:val="24"/>
          <w:szCs w:val="24"/>
          <w:u w:val="single"/>
          <w:lang w:eastAsia="zh-CN"/>
        </w:rPr>
        <w:t>202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6 </w:t>
      </w:r>
      <w:r>
        <w:rPr>
          <w:rFonts w:hint="eastAsia"/>
          <w:b/>
          <w:bCs/>
          <w:sz w:val="24"/>
          <w:szCs w:val="24"/>
          <w:u w:val="single"/>
        </w:rPr>
        <w:t>年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1 </w:t>
      </w:r>
      <w:r>
        <w:rPr>
          <w:rFonts w:hint="eastAsia"/>
          <w:b/>
          <w:bCs/>
          <w:sz w:val="24"/>
          <w:szCs w:val="24"/>
          <w:u w:val="single"/>
        </w:rPr>
        <w:t>月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14 </w:t>
      </w:r>
      <w:r>
        <w:rPr>
          <w:rFonts w:hint="eastAsia"/>
          <w:b/>
          <w:bCs/>
          <w:sz w:val="24"/>
          <w:szCs w:val="24"/>
          <w:u w:val="single"/>
        </w:rPr>
        <w:t>日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9</w:t>
      </w:r>
      <w:r>
        <w:rPr>
          <w:rFonts w:hint="eastAsia"/>
          <w:b/>
          <w:bCs/>
          <w:sz w:val="24"/>
          <w:szCs w:val="24"/>
          <w:u w:val="single"/>
        </w:rPr>
        <w:t xml:space="preserve">:00 </w:t>
      </w:r>
      <w:r>
        <w:rPr>
          <w:rFonts w:hint="eastAsia"/>
          <w:b/>
          <w:bCs/>
          <w:sz w:val="24"/>
          <w:szCs w:val="24"/>
        </w:rPr>
        <w:t>。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</w:t>
      </w:r>
    </w:p>
    <w:p w14:paraId="3886DEBB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5.1.2开标地点: 山东金岭矿业股份有限公司</w:t>
      </w:r>
      <w:r>
        <w:rPr>
          <w:rFonts w:hint="eastAsia" w:ascii="宋体" w:hAnsi="宋体" w:cs="宋体"/>
          <w:sz w:val="24"/>
          <w:szCs w:val="24"/>
          <w:lang w:eastAsia="zh-CN"/>
        </w:rPr>
        <w:t>科创中心</w:t>
      </w:r>
      <w:r>
        <w:rPr>
          <w:rFonts w:hint="eastAsia" w:ascii="宋体" w:hAnsi="宋体" w:cs="宋体"/>
          <w:sz w:val="24"/>
          <w:szCs w:val="24"/>
        </w:rPr>
        <w:t>三楼开标室。</w:t>
      </w:r>
    </w:p>
    <w:p w14:paraId="561A506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5.2谈判供应商递交响应文件应按照谈判文件的要求进行。</w:t>
      </w:r>
    </w:p>
    <w:p w14:paraId="338FE085">
      <w:pPr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5.3逾期送达的、未送达指定地点的或者不按照谈判文件要求密封的响应文件，采购人将予以拒收。</w:t>
      </w:r>
    </w:p>
    <w:p w14:paraId="70DB8FDC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5.4本项目采用</w:t>
      </w:r>
      <w:r>
        <w:rPr>
          <w:rFonts w:hint="eastAsia" w:ascii="宋体" w:hAnsi="宋体" w:cs="宋体"/>
          <w:b/>
          <w:bCs/>
          <w:sz w:val="24"/>
          <w:szCs w:val="24"/>
        </w:rPr>
        <w:t>现场谈判方式,谈判供应商必须参加现场开标活动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E54B9DA">
      <w:pPr>
        <w:spacing w:line="360" w:lineRule="auto"/>
        <w:ind w:firstLine="422"/>
        <w:rPr>
          <w:rFonts w:ascii="宋体" w:hAnsi="宋体" w:cs="宋体"/>
          <w:b/>
          <w:bCs/>
          <w:sz w:val="24"/>
          <w:szCs w:val="24"/>
        </w:rPr>
      </w:pPr>
      <w:bookmarkStart w:id="0" w:name="_Toc392227734"/>
      <w:bookmarkStart w:id="1" w:name="_Toc20031"/>
      <w:bookmarkStart w:id="2" w:name="_Toc3041"/>
      <w:r>
        <w:rPr>
          <w:rFonts w:hint="eastAsia" w:ascii="宋体" w:hAnsi="宋体" w:cs="宋体"/>
          <w:b/>
          <w:bCs/>
          <w:sz w:val="24"/>
          <w:szCs w:val="24"/>
        </w:rPr>
        <w:t>六、发布公告的媒介</w:t>
      </w:r>
      <w:bookmarkEnd w:id="0"/>
      <w:bookmarkEnd w:id="1"/>
      <w:bookmarkEnd w:id="2"/>
    </w:p>
    <w:p w14:paraId="1ADA7A57">
      <w:pPr>
        <w:wordWrap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本项目谈判公告在“</w:t>
      </w:r>
      <w:r>
        <w:rPr>
          <w:rFonts w:hint="eastAsia" w:ascii="宋体" w:hAnsi="宋体" w:cs="宋体"/>
          <w:kern w:val="0"/>
          <w:sz w:val="24"/>
          <w:szCs w:val="24"/>
        </w:rPr>
        <w:t>山钢集团阳光购销平台（http://bams.shansteelgroup.com/）</w:t>
      </w:r>
      <w:r>
        <w:rPr>
          <w:rFonts w:hint="eastAsia" w:ascii="宋体" w:hAnsi="宋体" w:cs="宋体"/>
          <w:sz w:val="24"/>
          <w:szCs w:val="24"/>
        </w:rPr>
        <w:t>”发布。谈判公告将明确对谈判供应商的资格要求、发售谈判文件的日期和方式、投标、开标等事宜。</w:t>
      </w:r>
    </w:p>
    <w:p w14:paraId="4CB48899">
      <w:pPr>
        <w:spacing w:line="360" w:lineRule="auto"/>
        <w:ind w:firstLine="422"/>
        <w:rPr>
          <w:rFonts w:ascii="宋体" w:hAnsi="宋体" w:cs="宋体"/>
          <w:b/>
          <w:bCs/>
          <w:sz w:val="24"/>
          <w:szCs w:val="24"/>
        </w:rPr>
      </w:pPr>
      <w:bookmarkStart w:id="3" w:name="_Toc12142"/>
      <w:bookmarkStart w:id="4" w:name="_Toc27956"/>
      <w:r>
        <w:rPr>
          <w:rFonts w:hint="eastAsia" w:ascii="宋体" w:hAnsi="宋体" w:cs="宋体"/>
          <w:b/>
          <w:bCs/>
          <w:sz w:val="24"/>
          <w:szCs w:val="24"/>
        </w:rPr>
        <w:t>七、联系方式</w:t>
      </w:r>
      <w:bookmarkEnd w:id="3"/>
      <w:bookmarkEnd w:id="4"/>
    </w:p>
    <w:p w14:paraId="5E8C260D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联系地址：淄博市张店区中埠镇铁鹰路29号。</w:t>
      </w:r>
    </w:p>
    <w:p w14:paraId="470BD242">
      <w:pPr>
        <w:pStyle w:val="2"/>
        <w:spacing w:line="360" w:lineRule="auto"/>
        <w:ind w:firstLine="42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电子邮箱: jlkyzbb@163.com</w:t>
      </w:r>
    </w:p>
    <w:p w14:paraId="6C37F838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咨询时间： 工作日  上午：8:30-11:45      下午：13:30-16:45</w:t>
      </w:r>
    </w:p>
    <w:tbl>
      <w:tblPr>
        <w:tblStyle w:val="8"/>
        <w:tblpPr w:leftFromText="180" w:rightFromText="180" w:vertAnchor="text" w:horzAnchor="margin" w:tblpXSpec="center" w:tblpY="210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2268"/>
        <w:gridCol w:w="2977"/>
      </w:tblGrid>
      <w:tr w14:paraId="4FF3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noWrap w:val="0"/>
            <w:vAlign w:val="center"/>
          </w:tcPr>
          <w:p w14:paraId="7F5945A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 w14:paraId="3354B5F7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业务</w:t>
            </w:r>
          </w:p>
        </w:tc>
        <w:tc>
          <w:tcPr>
            <w:tcW w:w="2268" w:type="dxa"/>
            <w:noWrap w:val="0"/>
            <w:vAlign w:val="center"/>
          </w:tcPr>
          <w:p w14:paraId="40C2E470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977" w:type="dxa"/>
            <w:noWrap w:val="0"/>
            <w:vAlign w:val="center"/>
          </w:tcPr>
          <w:p w14:paraId="34B60C32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</w:tr>
      <w:tr w14:paraId="1C65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noWrap w:val="0"/>
            <w:vAlign w:val="center"/>
          </w:tcPr>
          <w:p w14:paraId="09A10F6B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 w14:paraId="1891CADE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投标咨询</w:t>
            </w:r>
          </w:p>
        </w:tc>
        <w:tc>
          <w:tcPr>
            <w:tcW w:w="2268" w:type="dxa"/>
            <w:noWrap w:val="0"/>
            <w:vAlign w:val="center"/>
          </w:tcPr>
          <w:p w14:paraId="1D18C154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王先生/宫先生</w:t>
            </w:r>
          </w:p>
        </w:tc>
        <w:tc>
          <w:tcPr>
            <w:tcW w:w="2977" w:type="dxa"/>
            <w:noWrap w:val="0"/>
            <w:vAlign w:val="center"/>
          </w:tcPr>
          <w:p w14:paraId="0925670C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0533-3088212/3089963</w:t>
            </w:r>
          </w:p>
        </w:tc>
      </w:tr>
      <w:tr w14:paraId="4EAB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noWrap w:val="0"/>
            <w:vAlign w:val="center"/>
          </w:tcPr>
          <w:p w14:paraId="140D2EC9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 w14:paraId="5F157145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商务咨询</w:t>
            </w:r>
          </w:p>
        </w:tc>
        <w:tc>
          <w:tcPr>
            <w:tcW w:w="2268" w:type="dxa"/>
            <w:noWrap w:val="0"/>
            <w:vAlign w:val="center"/>
          </w:tcPr>
          <w:p w14:paraId="24D3F4AD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宋体" w:hAnsi="宋体" w:cs="宋体"/>
                <w:sz w:val="24"/>
                <w:szCs w:val="24"/>
              </w:rPr>
              <w:t>先生</w:t>
            </w:r>
          </w:p>
        </w:tc>
        <w:tc>
          <w:tcPr>
            <w:tcW w:w="2977" w:type="dxa"/>
            <w:noWrap w:val="0"/>
            <w:vAlign w:val="center"/>
          </w:tcPr>
          <w:p w14:paraId="4065E9F2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0533-308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9567</w:t>
            </w:r>
          </w:p>
        </w:tc>
      </w:tr>
      <w:tr w14:paraId="071E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noWrap w:val="0"/>
            <w:vAlign w:val="center"/>
          </w:tcPr>
          <w:p w14:paraId="366DD384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 w14:paraId="373F077C">
            <w:pPr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技术咨询</w:t>
            </w:r>
          </w:p>
        </w:tc>
        <w:tc>
          <w:tcPr>
            <w:tcW w:w="2268" w:type="dxa"/>
            <w:noWrap w:val="0"/>
            <w:vAlign w:val="center"/>
          </w:tcPr>
          <w:p w14:paraId="362CC7AE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董先生</w:t>
            </w:r>
          </w:p>
        </w:tc>
        <w:tc>
          <w:tcPr>
            <w:tcW w:w="2977" w:type="dxa"/>
            <w:noWrap w:val="0"/>
            <w:vAlign w:val="center"/>
          </w:tcPr>
          <w:p w14:paraId="2A307F2F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0533-3088317</w:t>
            </w:r>
          </w:p>
        </w:tc>
      </w:tr>
      <w:tr w14:paraId="5BB8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noWrap w:val="0"/>
            <w:vAlign w:val="center"/>
          </w:tcPr>
          <w:p w14:paraId="469E9B40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 w14:paraId="3EF9935C">
            <w:pPr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监  督</w:t>
            </w:r>
          </w:p>
        </w:tc>
        <w:tc>
          <w:tcPr>
            <w:tcW w:w="2268" w:type="dxa"/>
            <w:noWrap w:val="0"/>
            <w:vAlign w:val="center"/>
          </w:tcPr>
          <w:p w14:paraId="08072B23">
            <w:pPr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28735FD4">
            <w:pPr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0533-3089311</w:t>
            </w:r>
          </w:p>
        </w:tc>
      </w:tr>
    </w:tbl>
    <w:p w14:paraId="634E2AE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5665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9C5F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89C5F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F5A25"/>
    <w:rsid w:val="3F3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sz w:val="2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39"/>
    <w:pPr>
      <w:spacing w:before="120" w:after="120"/>
      <w:jc w:val="left"/>
    </w:pPr>
    <w:rPr>
      <w:caps/>
      <w:szCs w:val="24"/>
    </w:rPr>
  </w:style>
  <w:style w:type="character" w:styleId="10">
    <w:name w:val="Hyperlink"/>
    <w:basedOn w:val="9"/>
    <w:qFormat/>
    <w:uiPriority w:val="99"/>
    <w:rPr>
      <w:color w:val="4371B7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2026-01-06T07:37:00Z</dcterms:created>
  <dc:creator>李勇</dc:creator>
  <cp:lastModifiedBy>李勇</cp:lastModifiedBy>
  <dcterms:modified xsi:type="dcterms:W3CDTF">2026-01-06T07:40:30Z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57551BEA584C4F79B3618006FF7E6391_11</vt:lpwstr>
  </property>
  <property fmtid="{D5CDD505-2E9C-101B-9397-08002B2CF9AE}" pid="4" name="KSOTemplateDocerSaveRecord">
    <vt:lpwstr>eyJoZGlkIjoiMDA5OGQ0YWM1OWYxZjJlZTk1YjZiYTJlYTU2NTk4NGUiLCJ1c2VySWQiOiIxNzE2MTk0MTk5In0=</vt:lpwstr>
  </property>
</Properties>
</file>