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</w:rPr>
        <w:t>山东钢铁股份有限公司炼铁厂</w:t>
      </w:r>
    </w:p>
    <w:p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100"/>
          <w:kern w:val="0"/>
          <w:sz w:val="44"/>
          <w:szCs w:val="44"/>
          <w:lang w:eastAsia="zh-CN"/>
        </w:rPr>
        <w:t>物料清理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</w:rPr>
        <w:t>业务招标文件</w:t>
      </w:r>
    </w:p>
    <w:p>
      <w:pPr>
        <w:spacing w:line="580" w:lineRule="exact"/>
        <w:ind w:firstLine="55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一、招标单位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山东钢铁股份有限公司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炼铁厂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二、项目名称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炼铁厂新动区物料清理等业务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三、招标内容及服务要求</w:t>
      </w:r>
    </w:p>
    <w:p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（一）区域位置：炼铁厂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新动区</w:t>
      </w:r>
    </w:p>
    <w:p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（二）业务承揽要求：</w:t>
      </w:r>
    </w:p>
    <w:p>
      <w:pPr>
        <w:ind w:firstLine="768" w:firstLineChars="24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1、业务内容（承包）：</w:t>
      </w:r>
    </w:p>
    <w:p>
      <w:pPr>
        <w:ind w:firstLine="640" w:firstLineChars="200"/>
        <w:jc w:val="left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烧结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区域：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汽车卸、氧化铁皮、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氧化渣筛检、料场捡拾杂物大块和焦池焦粉筛检等业务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；料场清底料筛分及覆盖业务；工程机械进出料场铺皮子、道路清扫业务；新动区排洪沟疏通业务；校称、仓库搬运、现场废旧物资等清理业务；烧结机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二次混合机、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小矿槽、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除尘、大烟道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小格篦子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环冷机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鼓风机风道积灰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、积料及区域内其他清理业务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1.2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高炉区域：集中清理皮带返程带料产生的大量泥浆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、冻料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和漏斗的粘结料疏通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业务；包含净化发电区域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的物资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废旧件、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积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料、灰等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清理业务；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渣处理回收水池、热水池、冷水池、缓冲仓回收水池清挖和现场积料等清理业务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高炉槽下校秤、焦化管带校秤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、喷煤筒仓皮带秤校秤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；高炉炉顶除尘管道、净化发电区域输灰管路、净化箱体入口管道、阀门等清灰业务；区域内其他清理业务。</w:t>
      </w: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必须使用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符合环保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车辆。</w:t>
      </w: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结算方式：按包月结算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4、支付方式：采用银行承兑汇票。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rPr>
          <w:rFonts w:hint="default" w:ascii="仿宋_GB2312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5、本项目执行期暂定1年。合同期满，经双方协商，可续签合同。招标方根据生产经营变化，有权提前终止合同。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四、招标方式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本项目通过公开招标方式确定中标单位（1家）。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五、投标标价要求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、单位资格审查条件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（一）符合国家规定行业标准，依法取得营业执照，具有劳务服务等相关经营范围资质。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（二）具有从事相关业务经验和业绩（至少一份2023年以来业务相关或近似的合同），管理、安全、服务体系健全。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（三）具有良好的经营行为，不存在失信被执行、限制高消费情况，与招标方不存在纠纷诉讼行为。（提供企查查网站查询截图）。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（四）具有满足相关业务需要的足量资源，能保证日常业务和应急任务开展。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（五）安全环保要求：在工作、运输及存放过程中，要满足国家及地方相关环保要求，不得造成二次污染。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报名参加投标的单位，按照以上要求制作PDF版资格审查文件，报名时需上传资格审查文件，制造管理部将根据项目情况组织联合考察，对不符合招标条件或故意弄虚作假者，取消投标资格。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、评标方法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jc w:val="both"/>
        <w:textAlignment w:val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采取综合评估法进行评标，技术占30分，商务占70分，综合排名第一名的单位中标。如出现排名并列情况，根据综合实力情况，经评标委员会研究决定推荐中标单位。</w:t>
      </w:r>
    </w:p>
    <w:tbl>
      <w:tblPr>
        <w:tblStyle w:val="9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302"/>
      </w:tblGrid>
      <w:tr>
        <w:trPr>
          <w:trHeight w:val="631" w:hRule="atLeast"/>
          <w:jc w:val="center"/>
        </w:trPr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分类</w:t>
            </w:r>
          </w:p>
        </w:tc>
        <w:tc>
          <w:tcPr>
            <w:tcW w:w="412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评分规则</w:t>
            </w:r>
          </w:p>
        </w:tc>
      </w:tr>
      <w:tr>
        <w:trPr>
          <w:trHeight w:val="631" w:hRule="atLeast"/>
          <w:jc w:val="center"/>
        </w:trPr>
        <w:tc>
          <w:tcPr>
            <w:tcW w:w="8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价格（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0）</w:t>
            </w:r>
          </w:p>
        </w:tc>
        <w:tc>
          <w:tcPr>
            <w:tcW w:w="4128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1、高于平均报价30%为无效投标，低于平均报价3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0%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的，经评标委员会讨论研究，确认价格是否合理，若不合理视为无效投标。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2、有效最低报价为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分，其他以有效最低报价为基准，每高于基准价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%减1分。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实力业绩（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4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投标单位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提供与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本招标业务相似近三年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2023年以来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的承包合同，提供合同份数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份以上的（含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份）得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3份以上（含3份）5份以下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分，1份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以上（含1份）3份以下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的得1分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未提供的不得分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以“企查查”（www.qichacha.com）网站查询结果为依据：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“法律诉讼”项下“被执行人”每条扣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分，</w:t>
            </w:r>
            <w:bookmarkStart w:id="1" w:name="_GoBack"/>
            <w:bookmarkEnd w:id="1"/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得分0-5分。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服务保障（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4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对该业务有较为详实的了解，熟悉业务流程，能够根据业务特性制定相应的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方案。所编制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方案针对性强，内容全面的得分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分；针对性不强，内容较全面的得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分；无针对性，内容欠缺的得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提供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较为详实的安全管理规章制度，并配备安全管理专职人员，编制内容全面的得分4-5分，内容较为全面的得分2-3分，内容不全面的得分1分，未提供的不得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、联系方式</w:t>
      </w:r>
    </w:p>
    <w:p>
      <w:pPr>
        <w:spacing w:line="580" w:lineRule="exact"/>
        <w:ind w:firstLine="680" w:firstLineChars="200"/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</w:rPr>
        <w:t>招标中心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 xml:space="preserve">     李先生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 xml:space="preserve"> 0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>531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>-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</w:rPr>
        <w:t>7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>6923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>197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 xml:space="preserve">   </w:t>
      </w:r>
    </w:p>
    <w:p>
      <w:pPr>
        <w:spacing w:line="580" w:lineRule="exact"/>
        <w:ind w:firstLine="68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</w:rPr>
        <w:t>管理部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 xml:space="preserve">  王先生</w:t>
      </w:r>
      <w:r>
        <w:rPr>
          <w:rFonts w:ascii="仿宋_GB2312" w:hAnsi="宋体" w:eastAsia="仿宋_GB2312"/>
          <w:color w:val="auto"/>
          <w:spacing w:val="1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</w:rPr>
        <w:t>0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>531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</w:rPr>
        <w:t>-7</w:t>
      </w:r>
      <w:r>
        <w:rPr>
          <w:rFonts w:hint="eastAsia" w:ascii="仿宋_GB2312" w:hAnsi="宋体" w:eastAsia="仿宋_GB2312"/>
          <w:color w:val="auto"/>
          <w:spacing w:val="10"/>
          <w:kern w:val="0"/>
          <w:sz w:val="32"/>
          <w:szCs w:val="32"/>
          <w:lang w:val="en-US" w:eastAsia="zh-CN"/>
        </w:rPr>
        <w:t>7920308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bams.shansteelgroup.com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投标报价表</w:t>
      </w:r>
    </w:p>
    <w:p>
      <w:pPr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pStyle w:val="2"/>
      </w:pPr>
    </w:p>
    <w:p>
      <w:pPr>
        <w:rPr>
          <w:rFonts w:ascii="黑体" w:hAnsi="黑体" w:eastAsia="黑体"/>
          <w:color w:val="auto"/>
          <w:szCs w:val="21"/>
        </w:rPr>
      </w:pP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投标报价表</w:t>
      </w:r>
    </w:p>
    <w:tbl>
      <w:tblPr>
        <w:tblStyle w:val="9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2"/>
        <w:gridCol w:w="2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投标类别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投标价格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单位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(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不含税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rFonts w:hint="eastAsia" w:asci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炼铁厂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新动区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物料清理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业务承包</w:t>
            </w: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填写要求：手工填写，要求字迹清晰、工整，不允许有涂改痕迹。</w:t>
            </w:r>
          </w:p>
        </w:tc>
      </w:tr>
    </w:tbl>
    <w:p>
      <w:pPr>
        <w:spacing w:line="580" w:lineRule="exact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投标单位全称（公章）：</w:t>
      </w:r>
      <w:r>
        <w:rPr>
          <w:color w:val="auto"/>
          <w:szCs w:val="21"/>
        </w:rPr>
        <w:t xml:space="preserve">       </w:t>
      </w:r>
      <w:r>
        <w:rPr>
          <w:rFonts w:hint="eastAsia"/>
          <w:color w:val="auto"/>
          <w:szCs w:val="21"/>
        </w:rPr>
        <w:t>日期：</w:t>
      </w:r>
      <w:r>
        <w:rPr>
          <w:color w:val="auto"/>
          <w:szCs w:val="21"/>
        </w:rPr>
        <w:t xml:space="preserve">    </w:t>
      </w:r>
      <w:r>
        <w:rPr>
          <w:rFonts w:hint="eastAsia"/>
          <w:color w:val="auto"/>
          <w:szCs w:val="21"/>
        </w:rPr>
        <w:t>年</w:t>
      </w:r>
      <w:r>
        <w:rPr>
          <w:color w:val="auto"/>
          <w:szCs w:val="21"/>
        </w:rPr>
        <w:t xml:space="preserve">   </w:t>
      </w:r>
      <w:r>
        <w:rPr>
          <w:rFonts w:hint="eastAsia"/>
          <w:color w:val="auto"/>
          <w:szCs w:val="21"/>
        </w:rPr>
        <w:t>月</w:t>
      </w:r>
      <w:r>
        <w:rPr>
          <w:color w:val="auto"/>
          <w:szCs w:val="21"/>
        </w:rPr>
        <w:t xml:space="preserve">   </w:t>
      </w:r>
      <w:r>
        <w:rPr>
          <w:rFonts w:hint="eastAsia"/>
          <w:color w:val="auto"/>
          <w:szCs w:val="21"/>
        </w:rPr>
        <w:t>日</w:t>
      </w:r>
    </w:p>
    <w:p>
      <w:pPr>
        <w:rPr>
          <w:color w:val="auto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ind w:firstLine="420" w:firstLineChars="200"/>
        <w:rPr>
          <w:rFonts w:ascii="仿宋_GB2312" w:eastAsia="仿宋_GB2312"/>
          <w:color w:val="auto"/>
          <w:szCs w:val="21"/>
        </w:rPr>
      </w:pPr>
    </w:p>
    <w:p>
      <w:pPr>
        <w:rPr>
          <w:rFonts w:ascii="黑体" w:hAnsi="黑体" w:eastAsia="黑体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8F"/>
    <w:rsid w:val="00001EE8"/>
    <w:rsid w:val="00005530"/>
    <w:rsid w:val="0002718E"/>
    <w:rsid w:val="0002781B"/>
    <w:rsid w:val="00030412"/>
    <w:rsid w:val="000338D1"/>
    <w:rsid w:val="0004333D"/>
    <w:rsid w:val="000569FD"/>
    <w:rsid w:val="00062736"/>
    <w:rsid w:val="000629E3"/>
    <w:rsid w:val="0007086D"/>
    <w:rsid w:val="00076475"/>
    <w:rsid w:val="00093ADC"/>
    <w:rsid w:val="000A48C1"/>
    <w:rsid w:val="000B3CC8"/>
    <w:rsid w:val="000B4C05"/>
    <w:rsid w:val="000D0EDA"/>
    <w:rsid w:val="000D5A8F"/>
    <w:rsid w:val="000E0180"/>
    <w:rsid w:val="000E2433"/>
    <w:rsid w:val="000E478A"/>
    <w:rsid w:val="000F72CD"/>
    <w:rsid w:val="00100FE5"/>
    <w:rsid w:val="001055E1"/>
    <w:rsid w:val="00110341"/>
    <w:rsid w:val="00114CCF"/>
    <w:rsid w:val="00121AED"/>
    <w:rsid w:val="00125D14"/>
    <w:rsid w:val="0013561D"/>
    <w:rsid w:val="001427CE"/>
    <w:rsid w:val="00144F17"/>
    <w:rsid w:val="0014732C"/>
    <w:rsid w:val="00161A32"/>
    <w:rsid w:val="00167188"/>
    <w:rsid w:val="001713C0"/>
    <w:rsid w:val="001758F1"/>
    <w:rsid w:val="00190336"/>
    <w:rsid w:val="00194BCD"/>
    <w:rsid w:val="0019556A"/>
    <w:rsid w:val="00196F79"/>
    <w:rsid w:val="001B2A0E"/>
    <w:rsid w:val="001C722D"/>
    <w:rsid w:val="001E76E1"/>
    <w:rsid w:val="001F118F"/>
    <w:rsid w:val="00230ADC"/>
    <w:rsid w:val="00234131"/>
    <w:rsid w:val="00251E39"/>
    <w:rsid w:val="00260F3F"/>
    <w:rsid w:val="00295E8D"/>
    <w:rsid w:val="002A3F78"/>
    <w:rsid w:val="002A7E83"/>
    <w:rsid w:val="002B2566"/>
    <w:rsid w:val="002B6962"/>
    <w:rsid w:val="002C1018"/>
    <w:rsid w:val="002C3A32"/>
    <w:rsid w:val="002D67C1"/>
    <w:rsid w:val="002F7F66"/>
    <w:rsid w:val="003050BB"/>
    <w:rsid w:val="00305F0B"/>
    <w:rsid w:val="00342DA8"/>
    <w:rsid w:val="00382A4F"/>
    <w:rsid w:val="0038387F"/>
    <w:rsid w:val="003A5B00"/>
    <w:rsid w:val="003A6A4E"/>
    <w:rsid w:val="003B1E30"/>
    <w:rsid w:val="003B3488"/>
    <w:rsid w:val="003B42AE"/>
    <w:rsid w:val="003C0E1B"/>
    <w:rsid w:val="003D1A4B"/>
    <w:rsid w:val="003E47A6"/>
    <w:rsid w:val="003F28E9"/>
    <w:rsid w:val="004145F6"/>
    <w:rsid w:val="00433AAC"/>
    <w:rsid w:val="00434C46"/>
    <w:rsid w:val="00441915"/>
    <w:rsid w:val="00447209"/>
    <w:rsid w:val="0046110B"/>
    <w:rsid w:val="00474747"/>
    <w:rsid w:val="0047483B"/>
    <w:rsid w:val="004760BC"/>
    <w:rsid w:val="00480F3E"/>
    <w:rsid w:val="00490AC3"/>
    <w:rsid w:val="004A2A7D"/>
    <w:rsid w:val="004A686E"/>
    <w:rsid w:val="004B0BC9"/>
    <w:rsid w:val="004B5A9D"/>
    <w:rsid w:val="004D5E21"/>
    <w:rsid w:val="004E26E4"/>
    <w:rsid w:val="00522B77"/>
    <w:rsid w:val="00523CC8"/>
    <w:rsid w:val="005344EE"/>
    <w:rsid w:val="00535714"/>
    <w:rsid w:val="00547C9D"/>
    <w:rsid w:val="00551301"/>
    <w:rsid w:val="00551C58"/>
    <w:rsid w:val="005554E4"/>
    <w:rsid w:val="00574021"/>
    <w:rsid w:val="005800DE"/>
    <w:rsid w:val="005811CE"/>
    <w:rsid w:val="00583695"/>
    <w:rsid w:val="00587059"/>
    <w:rsid w:val="00587903"/>
    <w:rsid w:val="00590F9C"/>
    <w:rsid w:val="00595B1B"/>
    <w:rsid w:val="005A00D0"/>
    <w:rsid w:val="005B48AB"/>
    <w:rsid w:val="005C0EC8"/>
    <w:rsid w:val="005C3B66"/>
    <w:rsid w:val="005D2212"/>
    <w:rsid w:val="005D5119"/>
    <w:rsid w:val="005D6FE5"/>
    <w:rsid w:val="005E6BDB"/>
    <w:rsid w:val="005E7B02"/>
    <w:rsid w:val="005E7F02"/>
    <w:rsid w:val="005F3FC5"/>
    <w:rsid w:val="005F524D"/>
    <w:rsid w:val="006010DD"/>
    <w:rsid w:val="00602BF8"/>
    <w:rsid w:val="00626185"/>
    <w:rsid w:val="00627416"/>
    <w:rsid w:val="00640D2E"/>
    <w:rsid w:val="0065551F"/>
    <w:rsid w:val="00674288"/>
    <w:rsid w:val="00681425"/>
    <w:rsid w:val="00687F44"/>
    <w:rsid w:val="006A2A33"/>
    <w:rsid w:val="006A6876"/>
    <w:rsid w:val="006A6A34"/>
    <w:rsid w:val="006A7470"/>
    <w:rsid w:val="006A7900"/>
    <w:rsid w:val="006C623D"/>
    <w:rsid w:val="006D30BE"/>
    <w:rsid w:val="006D3BC3"/>
    <w:rsid w:val="006E0727"/>
    <w:rsid w:val="006E1E23"/>
    <w:rsid w:val="006F016C"/>
    <w:rsid w:val="006F7F14"/>
    <w:rsid w:val="00702902"/>
    <w:rsid w:val="007072A7"/>
    <w:rsid w:val="007111EE"/>
    <w:rsid w:val="00717A8E"/>
    <w:rsid w:val="0072079C"/>
    <w:rsid w:val="00723EA9"/>
    <w:rsid w:val="00732100"/>
    <w:rsid w:val="00734E99"/>
    <w:rsid w:val="007428B2"/>
    <w:rsid w:val="00743F7E"/>
    <w:rsid w:val="0074634B"/>
    <w:rsid w:val="007574F4"/>
    <w:rsid w:val="00761BCD"/>
    <w:rsid w:val="00764240"/>
    <w:rsid w:val="007660C2"/>
    <w:rsid w:val="00771A80"/>
    <w:rsid w:val="00780DDC"/>
    <w:rsid w:val="00781AAD"/>
    <w:rsid w:val="00795CDD"/>
    <w:rsid w:val="007A4708"/>
    <w:rsid w:val="007A7195"/>
    <w:rsid w:val="007B5678"/>
    <w:rsid w:val="007C1621"/>
    <w:rsid w:val="007C3522"/>
    <w:rsid w:val="007C3B7E"/>
    <w:rsid w:val="007E0CA7"/>
    <w:rsid w:val="007E3E38"/>
    <w:rsid w:val="007E4844"/>
    <w:rsid w:val="007F2ED2"/>
    <w:rsid w:val="007F39A1"/>
    <w:rsid w:val="007F4A1F"/>
    <w:rsid w:val="008004CD"/>
    <w:rsid w:val="00800D28"/>
    <w:rsid w:val="00804DEA"/>
    <w:rsid w:val="00810832"/>
    <w:rsid w:val="00810B1A"/>
    <w:rsid w:val="008141BF"/>
    <w:rsid w:val="00821945"/>
    <w:rsid w:val="0082737F"/>
    <w:rsid w:val="008303C8"/>
    <w:rsid w:val="008329F2"/>
    <w:rsid w:val="00856680"/>
    <w:rsid w:val="0086047F"/>
    <w:rsid w:val="00866665"/>
    <w:rsid w:val="00871F86"/>
    <w:rsid w:val="00876702"/>
    <w:rsid w:val="00876EDB"/>
    <w:rsid w:val="008858CD"/>
    <w:rsid w:val="008A52BD"/>
    <w:rsid w:val="008B152A"/>
    <w:rsid w:val="008B7C28"/>
    <w:rsid w:val="008C23B2"/>
    <w:rsid w:val="008C36AD"/>
    <w:rsid w:val="008D50BE"/>
    <w:rsid w:val="008D6B27"/>
    <w:rsid w:val="008F0EF7"/>
    <w:rsid w:val="008F20DB"/>
    <w:rsid w:val="008F6F3C"/>
    <w:rsid w:val="00922619"/>
    <w:rsid w:val="00926307"/>
    <w:rsid w:val="00927AEF"/>
    <w:rsid w:val="00942201"/>
    <w:rsid w:val="00945F70"/>
    <w:rsid w:val="0095564C"/>
    <w:rsid w:val="00961411"/>
    <w:rsid w:val="00963192"/>
    <w:rsid w:val="00967895"/>
    <w:rsid w:val="009846B9"/>
    <w:rsid w:val="0099019A"/>
    <w:rsid w:val="009A1A63"/>
    <w:rsid w:val="009A32C4"/>
    <w:rsid w:val="009A62BC"/>
    <w:rsid w:val="009C1CA2"/>
    <w:rsid w:val="009C771F"/>
    <w:rsid w:val="009D28A7"/>
    <w:rsid w:val="009D505F"/>
    <w:rsid w:val="009E139E"/>
    <w:rsid w:val="009E57EC"/>
    <w:rsid w:val="00A01A4B"/>
    <w:rsid w:val="00A01F4F"/>
    <w:rsid w:val="00A05105"/>
    <w:rsid w:val="00A1055F"/>
    <w:rsid w:val="00A114C4"/>
    <w:rsid w:val="00A125DC"/>
    <w:rsid w:val="00A1436B"/>
    <w:rsid w:val="00A310F5"/>
    <w:rsid w:val="00A54CF8"/>
    <w:rsid w:val="00A67FEC"/>
    <w:rsid w:val="00A745B9"/>
    <w:rsid w:val="00A74A3E"/>
    <w:rsid w:val="00A764C9"/>
    <w:rsid w:val="00A8332A"/>
    <w:rsid w:val="00A96D26"/>
    <w:rsid w:val="00AA1B23"/>
    <w:rsid w:val="00AB0EAF"/>
    <w:rsid w:val="00AB4639"/>
    <w:rsid w:val="00AC1FF3"/>
    <w:rsid w:val="00AC20B7"/>
    <w:rsid w:val="00AC3197"/>
    <w:rsid w:val="00AC4BC4"/>
    <w:rsid w:val="00AD7C7C"/>
    <w:rsid w:val="00AE1F4E"/>
    <w:rsid w:val="00AE3EE6"/>
    <w:rsid w:val="00AF4B55"/>
    <w:rsid w:val="00AF6552"/>
    <w:rsid w:val="00B038EF"/>
    <w:rsid w:val="00B21F0E"/>
    <w:rsid w:val="00B40E42"/>
    <w:rsid w:val="00B43D48"/>
    <w:rsid w:val="00B50F75"/>
    <w:rsid w:val="00B5153B"/>
    <w:rsid w:val="00B57BEC"/>
    <w:rsid w:val="00B60D87"/>
    <w:rsid w:val="00B65E81"/>
    <w:rsid w:val="00B73EAA"/>
    <w:rsid w:val="00B74211"/>
    <w:rsid w:val="00B750CD"/>
    <w:rsid w:val="00B76DD7"/>
    <w:rsid w:val="00BA020C"/>
    <w:rsid w:val="00BA35A9"/>
    <w:rsid w:val="00BB2E1F"/>
    <w:rsid w:val="00BC0E1C"/>
    <w:rsid w:val="00BC5136"/>
    <w:rsid w:val="00BE1A40"/>
    <w:rsid w:val="00BE5CA1"/>
    <w:rsid w:val="00C011AA"/>
    <w:rsid w:val="00C10BF3"/>
    <w:rsid w:val="00C33433"/>
    <w:rsid w:val="00C37640"/>
    <w:rsid w:val="00C44B61"/>
    <w:rsid w:val="00C53DED"/>
    <w:rsid w:val="00C67A56"/>
    <w:rsid w:val="00C704A5"/>
    <w:rsid w:val="00C8127A"/>
    <w:rsid w:val="00C836E7"/>
    <w:rsid w:val="00C83A3F"/>
    <w:rsid w:val="00CA05AC"/>
    <w:rsid w:val="00CA3284"/>
    <w:rsid w:val="00CD5A3F"/>
    <w:rsid w:val="00CE33B8"/>
    <w:rsid w:val="00CF7C68"/>
    <w:rsid w:val="00D001CD"/>
    <w:rsid w:val="00D026DE"/>
    <w:rsid w:val="00D20BA3"/>
    <w:rsid w:val="00D21720"/>
    <w:rsid w:val="00D342B7"/>
    <w:rsid w:val="00D34A41"/>
    <w:rsid w:val="00D44D88"/>
    <w:rsid w:val="00D4595D"/>
    <w:rsid w:val="00D52FF0"/>
    <w:rsid w:val="00D55F8F"/>
    <w:rsid w:val="00D74833"/>
    <w:rsid w:val="00D82379"/>
    <w:rsid w:val="00DA1A7D"/>
    <w:rsid w:val="00DA7DD9"/>
    <w:rsid w:val="00DB0FB5"/>
    <w:rsid w:val="00DB75A0"/>
    <w:rsid w:val="00DB78BB"/>
    <w:rsid w:val="00DB7F5B"/>
    <w:rsid w:val="00DC19CA"/>
    <w:rsid w:val="00DE12D0"/>
    <w:rsid w:val="00DE1434"/>
    <w:rsid w:val="00DE452F"/>
    <w:rsid w:val="00DF18B4"/>
    <w:rsid w:val="00E16376"/>
    <w:rsid w:val="00E2398E"/>
    <w:rsid w:val="00E264E6"/>
    <w:rsid w:val="00E417A4"/>
    <w:rsid w:val="00E6387D"/>
    <w:rsid w:val="00E72348"/>
    <w:rsid w:val="00E7797B"/>
    <w:rsid w:val="00E82EFA"/>
    <w:rsid w:val="00E8331E"/>
    <w:rsid w:val="00E968EB"/>
    <w:rsid w:val="00EA16B6"/>
    <w:rsid w:val="00EA75DA"/>
    <w:rsid w:val="00EB4BE0"/>
    <w:rsid w:val="00EE1C66"/>
    <w:rsid w:val="00EE4C8F"/>
    <w:rsid w:val="00EF28DB"/>
    <w:rsid w:val="00EF6362"/>
    <w:rsid w:val="00F077F1"/>
    <w:rsid w:val="00F12CF1"/>
    <w:rsid w:val="00F24B73"/>
    <w:rsid w:val="00F333E6"/>
    <w:rsid w:val="00F40921"/>
    <w:rsid w:val="00F536DB"/>
    <w:rsid w:val="00F64A27"/>
    <w:rsid w:val="00F70C83"/>
    <w:rsid w:val="00F8489E"/>
    <w:rsid w:val="00F85A5B"/>
    <w:rsid w:val="00F96FB9"/>
    <w:rsid w:val="00FB0E84"/>
    <w:rsid w:val="00FB1F90"/>
    <w:rsid w:val="00FC7D46"/>
    <w:rsid w:val="00FD67C3"/>
    <w:rsid w:val="00FF1D40"/>
    <w:rsid w:val="01885F42"/>
    <w:rsid w:val="020A4875"/>
    <w:rsid w:val="039514F9"/>
    <w:rsid w:val="05825F40"/>
    <w:rsid w:val="0A397505"/>
    <w:rsid w:val="0A444675"/>
    <w:rsid w:val="0B06267E"/>
    <w:rsid w:val="0BD50B1A"/>
    <w:rsid w:val="0BF908E0"/>
    <w:rsid w:val="0D7777D8"/>
    <w:rsid w:val="0E0E6C86"/>
    <w:rsid w:val="0F0827F2"/>
    <w:rsid w:val="117827C6"/>
    <w:rsid w:val="128A1015"/>
    <w:rsid w:val="12D41AE2"/>
    <w:rsid w:val="148E47F1"/>
    <w:rsid w:val="17AF44F8"/>
    <w:rsid w:val="17BC2380"/>
    <w:rsid w:val="181477C4"/>
    <w:rsid w:val="198260F2"/>
    <w:rsid w:val="1B85193B"/>
    <w:rsid w:val="202D01E1"/>
    <w:rsid w:val="203E6584"/>
    <w:rsid w:val="229028C4"/>
    <w:rsid w:val="22EE5ADF"/>
    <w:rsid w:val="255827DA"/>
    <w:rsid w:val="263631A5"/>
    <w:rsid w:val="2DFE6E4B"/>
    <w:rsid w:val="2E1375C0"/>
    <w:rsid w:val="2F384052"/>
    <w:rsid w:val="303C73AF"/>
    <w:rsid w:val="366B371D"/>
    <w:rsid w:val="36C33091"/>
    <w:rsid w:val="38AE0B3D"/>
    <w:rsid w:val="3969753C"/>
    <w:rsid w:val="39E61F8A"/>
    <w:rsid w:val="3AF433CB"/>
    <w:rsid w:val="3FB75FC0"/>
    <w:rsid w:val="3FCF73D0"/>
    <w:rsid w:val="3FDF6849"/>
    <w:rsid w:val="3FF86B5D"/>
    <w:rsid w:val="401D341C"/>
    <w:rsid w:val="43F0082A"/>
    <w:rsid w:val="44E70460"/>
    <w:rsid w:val="47DC1D23"/>
    <w:rsid w:val="481600E5"/>
    <w:rsid w:val="49905CC4"/>
    <w:rsid w:val="4CD95FF4"/>
    <w:rsid w:val="4CE76CFB"/>
    <w:rsid w:val="4EC34717"/>
    <w:rsid w:val="51324DEE"/>
    <w:rsid w:val="514D679B"/>
    <w:rsid w:val="531B3093"/>
    <w:rsid w:val="54493E5F"/>
    <w:rsid w:val="546148FC"/>
    <w:rsid w:val="55667A7E"/>
    <w:rsid w:val="58FA5EAF"/>
    <w:rsid w:val="597B0789"/>
    <w:rsid w:val="5A456AF1"/>
    <w:rsid w:val="5BCD1B1C"/>
    <w:rsid w:val="5DE1792F"/>
    <w:rsid w:val="5EBE2019"/>
    <w:rsid w:val="5F2A57E3"/>
    <w:rsid w:val="5F723DE3"/>
    <w:rsid w:val="636B451F"/>
    <w:rsid w:val="63C01281"/>
    <w:rsid w:val="6412347E"/>
    <w:rsid w:val="671A3971"/>
    <w:rsid w:val="67D27862"/>
    <w:rsid w:val="68AD2E49"/>
    <w:rsid w:val="691B4980"/>
    <w:rsid w:val="7052480C"/>
    <w:rsid w:val="71FB2E08"/>
    <w:rsid w:val="734D7D47"/>
    <w:rsid w:val="73CF0BE1"/>
    <w:rsid w:val="748E37D1"/>
    <w:rsid w:val="75D744EC"/>
    <w:rsid w:val="767F2D13"/>
    <w:rsid w:val="7B8B3FB2"/>
    <w:rsid w:val="7BFF023E"/>
    <w:rsid w:val="7C447BC1"/>
    <w:rsid w:val="7C7042A7"/>
    <w:rsid w:val="7D650322"/>
    <w:rsid w:val="7DC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iPriority="99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locked/>
    <w:uiPriority w:val="99"/>
    <w:pPr>
      <w:spacing w:after="120" w:afterLines="0" w:afterAutospacing="0"/>
    </w:pPr>
  </w:style>
  <w:style w:type="paragraph" w:styleId="3">
    <w:name w:val="Body Text Indent"/>
    <w:basedOn w:val="1"/>
    <w:link w:val="19"/>
    <w:qFormat/>
    <w:locked/>
    <w:uiPriority w:val="99"/>
    <w:pPr>
      <w:ind w:firstLine="720" w:firstLineChars="225"/>
    </w:pPr>
    <w:rPr>
      <w:sz w:val="32"/>
    </w:rPr>
  </w:style>
  <w:style w:type="paragraph" w:styleId="4">
    <w:name w:val="Plain Text"/>
    <w:basedOn w:val="1"/>
    <w:link w:val="20"/>
    <w:qFormat/>
    <w:locked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Foot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11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HTML Preformatted Char"/>
    <w:basedOn w:val="11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7">
    <w:name w:val="Balloon Text Char"/>
    <w:basedOn w:val="11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Body Text Indent Char"/>
    <w:basedOn w:val="11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Plain Text Char"/>
    <w:basedOn w:val="11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3">
    <w:name w:val="font01"/>
    <w:basedOn w:val="1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303</Words>
  <Characters>1728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2020-06-03T09:01:00Z</dcterms:created>
  <dc:creator>微软用户</dc:creator>
  <cp:lastModifiedBy>王庆会</cp:lastModifiedBy>
  <cp:lastPrinted>2019-08-23T00:12:00Z</cp:lastPrinted>
  <dcterms:modified xsi:type="dcterms:W3CDTF">2026-01-07T02:47:09Z</dcterms:modified>
  <dc:title>莱芜钢铁集团有限公司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6FAD591B11B34CCAA9756566AAFE9959</vt:lpwstr>
  </property>
</Properties>
</file>