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50F29">
      <w:pPr>
        <w:tabs>
          <w:tab w:val="left" w:pos="3000"/>
        </w:tabs>
        <w:autoSpaceDE w:val="0"/>
        <w:autoSpaceDN w:val="0"/>
        <w:adjustRightInd w:val="0"/>
        <w:spacing w:line="580" w:lineRule="exact"/>
        <w:jc w:val="center"/>
        <w:textAlignment w:val="center"/>
        <w:rPr>
          <w:rFonts w:hint="eastAsia" w:ascii="方正小标宋简体" w:eastAsia="方正小标宋简体"/>
          <w:spacing w:val="45"/>
          <w:kern w:val="0"/>
          <w:sz w:val="44"/>
          <w:szCs w:val="44"/>
        </w:rPr>
      </w:pPr>
      <w:r>
        <w:rPr>
          <w:rFonts w:hint="eastAsia" w:ascii="方正小标宋简体" w:eastAsia="方正小标宋简体"/>
          <w:spacing w:val="45"/>
          <w:kern w:val="0"/>
          <w:sz w:val="44"/>
          <w:szCs w:val="44"/>
          <w:lang w:eastAsia="zh-CN"/>
        </w:rPr>
        <w:t>莱芜钢铁集团银山型钢</w:t>
      </w:r>
      <w:r>
        <w:rPr>
          <w:rFonts w:hint="eastAsia" w:ascii="方正小标宋简体" w:eastAsia="方正小标宋简体"/>
          <w:spacing w:val="45"/>
          <w:kern w:val="0"/>
          <w:sz w:val="44"/>
          <w:szCs w:val="44"/>
        </w:rPr>
        <w:t>有限公司</w:t>
      </w:r>
    </w:p>
    <w:p w14:paraId="2EA5E078">
      <w:pPr>
        <w:tabs>
          <w:tab w:val="left" w:pos="3000"/>
        </w:tabs>
        <w:autoSpaceDE w:val="0"/>
        <w:autoSpaceDN w:val="0"/>
        <w:adjustRightInd w:val="0"/>
        <w:spacing w:line="580" w:lineRule="exact"/>
        <w:jc w:val="center"/>
        <w:textAlignment w:val="center"/>
        <w:rPr>
          <w:rFonts w:hint="eastAsia" w:ascii="方正小标宋简体" w:eastAsia="方正小标宋简体"/>
          <w:spacing w:val="45"/>
          <w:kern w:val="0"/>
          <w:sz w:val="44"/>
          <w:szCs w:val="44"/>
          <w:lang w:val="en-US" w:eastAsia="zh-CN"/>
        </w:rPr>
      </w:pPr>
      <w:r>
        <w:rPr>
          <w:rFonts w:hint="eastAsia" w:ascii="方正小标宋简体" w:eastAsia="方正小标宋简体"/>
          <w:spacing w:val="45"/>
          <w:kern w:val="0"/>
          <w:sz w:val="44"/>
          <w:szCs w:val="44"/>
        </w:rPr>
        <w:t>吊车</w:t>
      </w:r>
      <w:r>
        <w:rPr>
          <w:rFonts w:hint="eastAsia" w:ascii="方正小标宋简体" w:eastAsia="方正小标宋简体"/>
          <w:spacing w:val="45"/>
          <w:kern w:val="0"/>
          <w:sz w:val="44"/>
          <w:szCs w:val="44"/>
          <w:lang w:val="en-US" w:eastAsia="zh-CN"/>
        </w:rPr>
        <w:t>租赁服务业务</w:t>
      </w:r>
      <w:r>
        <w:rPr>
          <w:rFonts w:hint="eastAsia" w:ascii="方正小标宋简体" w:eastAsia="方正小标宋简体"/>
          <w:spacing w:val="45"/>
          <w:kern w:val="0"/>
          <w:sz w:val="44"/>
          <w:szCs w:val="44"/>
        </w:rPr>
        <w:t>招标</w:t>
      </w:r>
      <w:r>
        <w:rPr>
          <w:rFonts w:hint="eastAsia" w:ascii="方正小标宋简体" w:eastAsia="方正小标宋简体"/>
          <w:spacing w:val="45"/>
          <w:kern w:val="0"/>
          <w:sz w:val="44"/>
          <w:szCs w:val="44"/>
          <w:lang w:val="en-US" w:eastAsia="zh-CN"/>
        </w:rPr>
        <w:t>文件</w:t>
      </w:r>
    </w:p>
    <w:p w14:paraId="4D43E49B">
      <w:pPr>
        <w:tabs>
          <w:tab w:val="left" w:pos="3000"/>
        </w:tabs>
        <w:autoSpaceDE w:val="0"/>
        <w:autoSpaceDN w:val="0"/>
        <w:adjustRightInd w:val="0"/>
        <w:spacing w:line="580" w:lineRule="exact"/>
        <w:textAlignment w:val="center"/>
        <w:rPr>
          <w:rFonts w:ascii="方正小标宋简体" w:eastAsia="方正小标宋简体"/>
          <w:spacing w:val="45"/>
          <w:kern w:val="0"/>
          <w:sz w:val="36"/>
          <w:szCs w:val="36"/>
        </w:rPr>
      </w:pPr>
    </w:p>
    <w:p w14:paraId="112C7193">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一、招标</w:t>
      </w:r>
      <w:r>
        <w:rPr>
          <w:rFonts w:hint="eastAsia" w:ascii="黑体" w:hAnsi="黑体" w:eastAsia="黑体"/>
          <w:sz w:val="32"/>
          <w:szCs w:val="32"/>
          <w:lang w:val="en-US" w:eastAsia="zh-CN"/>
        </w:rPr>
        <w:t>人</w:t>
      </w:r>
    </w:p>
    <w:p w14:paraId="02FBE370">
      <w:pPr>
        <w:spacing w:line="560" w:lineRule="exact"/>
        <w:ind w:firstLine="640" w:firstLineChars="200"/>
        <w:rPr>
          <w:rFonts w:ascii="仿宋_GB2312" w:eastAsia="仿宋_GB2312"/>
          <w:bCs/>
          <w:sz w:val="32"/>
          <w:szCs w:val="32"/>
        </w:rPr>
      </w:pPr>
      <w:r>
        <w:rPr>
          <w:rFonts w:hint="eastAsia" w:ascii="仿宋_GB2312" w:eastAsia="仿宋_GB2312"/>
          <w:bCs/>
          <w:sz w:val="32"/>
          <w:szCs w:val="32"/>
          <w:lang w:eastAsia="zh-CN"/>
        </w:rPr>
        <w:t>莱芜钢铁集团银山型钢</w:t>
      </w:r>
      <w:r>
        <w:rPr>
          <w:rFonts w:hint="eastAsia" w:ascii="仿宋_GB2312" w:eastAsia="仿宋_GB2312"/>
          <w:bCs/>
          <w:sz w:val="32"/>
          <w:szCs w:val="32"/>
        </w:rPr>
        <w:t>有限公司</w:t>
      </w:r>
    </w:p>
    <w:p w14:paraId="4D2A2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二、项目</w:t>
      </w:r>
      <w:r>
        <w:rPr>
          <w:rFonts w:hint="eastAsia" w:ascii="黑体" w:hAnsi="黑体" w:eastAsia="黑体"/>
          <w:sz w:val="32"/>
          <w:szCs w:val="32"/>
          <w:lang w:val="en-US" w:eastAsia="zh-CN"/>
        </w:rPr>
        <w:t>说明</w:t>
      </w:r>
    </w:p>
    <w:p w14:paraId="613A3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Style w:val="23"/>
          <w:rFonts w:hint="eastAsia" w:ascii="仿宋_GB2312" w:hAnsi="仿宋_GB2312" w:eastAsia="仿宋_GB2312" w:cs="仿宋_GB2312"/>
          <w:color w:val="auto"/>
          <w:sz w:val="32"/>
          <w:szCs w:val="32"/>
          <w:lang w:val="en-US" w:eastAsia="zh-CN"/>
        </w:rPr>
        <w:t>（一）招标名称：</w:t>
      </w:r>
      <w:r>
        <w:rPr>
          <w:rFonts w:hint="eastAsia" w:ascii="仿宋_GB2312" w:hAnsi="仿宋_GB2312" w:eastAsia="仿宋_GB2312" w:cs="仿宋_GB2312"/>
          <w:color w:val="auto"/>
          <w:sz w:val="32"/>
          <w:szCs w:val="32"/>
        </w:rPr>
        <w:t>吊车</w:t>
      </w:r>
      <w:r>
        <w:rPr>
          <w:rFonts w:hint="eastAsia" w:ascii="仿宋_GB2312" w:hAnsi="仿宋_GB2312" w:eastAsia="仿宋_GB2312" w:cs="仿宋_GB2312"/>
          <w:color w:val="auto"/>
          <w:sz w:val="32"/>
          <w:szCs w:val="32"/>
          <w:lang w:val="en-US" w:eastAsia="zh-CN"/>
        </w:rPr>
        <w:t>租赁服务</w:t>
      </w:r>
      <w:r>
        <w:rPr>
          <w:rFonts w:hint="eastAsia" w:ascii="仿宋_GB2312" w:hAnsi="仿宋_GB2312" w:eastAsia="仿宋_GB2312" w:cs="仿宋_GB2312"/>
          <w:color w:val="auto"/>
          <w:sz w:val="32"/>
          <w:szCs w:val="32"/>
        </w:rPr>
        <w:t>招标</w:t>
      </w:r>
    </w:p>
    <w:p w14:paraId="501AE1C7">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招标方式：公开招标</w:t>
      </w:r>
    </w:p>
    <w:p w14:paraId="335C40F1">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（三）招标内容：</w:t>
      </w:r>
      <w:bookmarkStart w:id="0" w:name="OLE_LINK1"/>
      <w:r>
        <w:rPr>
          <w:rFonts w:hint="eastAsia" w:ascii="仿宋_GB2312" w:eastAsia="仿宋_GB2312"/>
          <w:color w:val="auto"/>
          <w:sz w:val="32"/>
          <w:szCs w:val="32"/>
          <w:lang w:val="en-US" w:eastAsia="zh-CN"/>
        </w:rPr>
        <w:t>厂区内部吊装服务（含生产、抢修及设备大中修），按照约定时间、地点提供安全、准时的吊车吊装服务，同时需配备具有相应操作资质的吊装驾驶员。</w:t>
      </w:r>
      <w:bookmarkEnd w:id="0"/>
    </w:p>
    <w:p w14:paraId="085E7665">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（四）</w:t>
      </w:r>
      <w:r>
        <w:rPr>
          <w:rFonts w:hint="eastAsia" w:ascii="楷体_GB2312" w:hAnsi="黑体" w:eastAsia="楷体_GB2312"/>
          <w:color w:val="auto"/>
          <w:sz w:val="32"/>
          <w:szCs w:val="32"/>
          <w:lang w:eastAsia="zh-CN"/>
        </w:rPr>
        <w:t>业务</w:t>
      </w:r>
      <w:r>
        <w:rPr>
          <w:rFonts w:hint="eastAsia" w:ascii="楷体_GB2312" w:hAnsi="黑体" w:eastAsia="楷体_GB2312"/>
          <w:color w:val="auto"/>
          <w:sz w:val="32"/>
          <w:szCs w:val="32"/>
        </w:rPr>
        <w:t>资源量：</w:t>
      </w:r>
      <w:r>
        <w:rPr>
          <w:rFonts w:hint="eastAsia" w:ascii="仿宋_GB2312" w:hAnsi="宋体" w:eastAsia="仿宋_GB2312"/>
          <w:color w:val="auto"/>
          <w:sz w:val="32"/>
          <w:szCs w:val="32"/>
        </w:rPr>
        <w:t>具体数量根据</w:t>
      </w:r>
      <w:r>
        <w:rPr>
          <w:rFonts w:hint="eastAsia" w:ascii="仿宋_GB2312" w:hAnsi="宋体" w:eastAsia="仿宋_GB2312"/>
          <w:color w:val="auto"/>
          <w:sz w:val="32"/>
          <w:szCs w:val="32"/>
          <w:lang w:eastAsia="zh-CN"/>
        </w:rPr>
        <w:t>招标人生产经营</w:t>
      </w:r>
      <w:r>
        <w:rPr>
          <w:rFonts w:hint="eastAsia" w:ascii="仿宋_GB2312" w:hAnsi="宋体" w:eastAsia="仿宋_GB2312"/>
          <w:color w:val="auto"/>
          <w:sz w:val="32"/>
          <w:szCs w:val="32"/>
        </w:rPr>
        <w:t>计划确定，以实际发生量为准。</w:t>
      </w:r>
    </w:p>
    <w:p w14:paraId="264A126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宋体" w:eastAsia="仿宋_GB2312"/>
          <w:color w:val="auto"/>
          <w:sz w:val="32"/>
          <w:szCs w:val="32"/>
          <w:lang w:eastAsia="zh-CN"/>
        </w:rPr>
        <w:t>（五）</w:t>
      </w:r>
      <w:r>
        <w:rPr>
          <w:rFonts w:hint="eastAsia" w:ascii="仿宋_GB2312" w:eastAsia="仿宋_GB2312"/>
          <w:color w:val="auto"/>
          <w:sz w:val="32"/>
          <w:szCs w:val="32"/>
          <w:lang w:val="en-US" w:eastAsia="zh-CN"/>
        </w:rPr>
        <w:t>报价方式：</w:t>
      </w:r>
    </w:p>
    <w:p w14:paraId="0357665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1. </w:t>
      </w:r>
      <w:r>
        <w:rPr>
          <w:rFonts w:hint="eastAsia" w:ascii="仿宋_GB2312" w:eastAsia="仿宋_GB2312"/>
          <w:color w:val="auto"/>
          <w:sz w:val="32"/>
          <w:szCs w:val="32"/>
          <w:lang w:val="en-US" w:eastAsia="zh-CN"/>
        </w:rPr>
        <w:t>采用固定综合单价进行报价。固定综合单价中包含但不限于吊车租赁费、配重及其运输费用、操作人员工资、加班费、食宿费、含燃油费、维修保养费、各种保险、来往现场途中各种违章罚款、税金、设备进出场费等与吊车租赁相关的所发生的一切费用，招标方不再另行支付。</w:t>
      </w:r>
    </w:p>
    <w:p w14:paraId="5D6A749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 固定综合单价充分考虑了一切可预见及不可预见的影响因素及吊装条件。投</w:t>
      </w:r>
      <w:r>
        <w:rPr>
          <w:rFonts w:hint="eastAsia" w:ascii="仿宋_GB2312" w:eastAsia="仿宋_GB2312"/>
          <w:color w:val="auto"/>
          <w:sz w:val="32"/>
          <w:szCs w:val="32"/>
          <w:lang w:val="en-US" w:eastAsia="zh-CN"/>
        </w:rPr>
        <w:t>标方须到施工现场进行实地勘测、并熟悉路线及施工现场吊装场地等内容，同时在吊装过程中，投标方不得以不完全了解吊装作业环境及配套物资设备情况为由，提出任何增加单价或索赔。</w:t>
      </w:r>
    </w:p>
    <w:p w14:paraId="04794530">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 固定综合单价均为不含税价格。</w:t>
      </w:r>
    </w:p>
    <w:p w14:paraId="65F7C9B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4. 报价清单见附件1。</w:t>
      </w:r>
    </w:p>
    <w:p w14:paraId="500BF118">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（六）结算方式：</w:t>
      </w:r>
    </w:p>
    <w:p w14:paraId="67DF8A3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en-US" w:eastAsia="zh-CN"/>
        </w:rPr>
        <w:t>按招标方核定的吊车吨位*作业时长*固定综合单价月度结算。</w:t>
      </w:r>
    </w:p>
    <w:p w14:paraId="728505A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olor w:val="auto"/>
          <w:sz w:val="32"/>
          <w:szCs w:val="32"/>
          <w:lang w:eastAsia="zh-CN"/>
        </w:rPr>
      </w:pPr>
      <w:r>
        <w:rPr>
          <w:rFonts w:hint="eastAsia" w:ascii="仿宋_GB2312" w:hAnsi="宋体" w:eastAsia="仿宋_GB2312"/>
          <w:color w:val="auto"/>
          <w:sz w:val="32"/>
          <w:szCs w:val="32"/>
          <w:lang w:val="en-US" w:eastAsia="zh-CN"/>
        </w:rPr>
        <w:t>2.</w:t>
      </w:r>
      <w:r>
        <w:rPr>
          <w:rFonts w:hint="eastAsia" w:ascii="仿宋_GB2312" w:hAnsi="仿宋_GB2312" w:eastAsia="仿宋_GB2312"/>
          <w:color w:val="auto"/>
          <w:sz w:val="32"/>
          <w:szCs w:val="32"/>
          <w:lang w:eastAsia="zh-CN"/>
        </w:rPr>
        <w:t>当月发生费用，</w:t>
      </w:r>
      <w:r>
        <w:rPr>
          <w:rFonts w:hint="eastAsia" w:ascii="仿宋_GB2312" w:hAnsi="宋体" w:eastAsia="仿宋_GB2312"/>
          <w:color w:val="auto"/>
          <w:sz w:val="32"/>
          <w:szCs w:val="32"/>
        </w:rPr>
        <w:t>次月</w:t>
      </w:r>
      <w:r>
        <w:rPr>
          <w:rFonts w:hint="eastAsia" w:ascii="仿宋_GB2312" w:hAnsi="宋体" w:eastAsia="仿宋_GB2312"/>
          <w:color w:val="auto"/>
          <w:sz w:val="32"/>
          <w:szCs w:val="32"/>
          <w:lang w:val="en-US" w:eastAsia="zh-CN"/>
        </w:rPr>
        <w:t>15日</w:t>
      </w:r>
      <w:r>
        <w:rPr>
          <w:rFonts w:hint="eastAsia" w:ascii="仿宋_GB2312" w:hAnsi="宋体" w:eastAsia="仿宋_GB2312"/>
          <w:color w:val="auto"/>
          <w:sz w:val="32"/>
          <w:szCs w:val="32"/>
        </w:rPr>
        <w:t>前持相关结算票据到</w:t>
      </w:r>
      <w:r>
        <w:rPr>
          <w:rFonts w:hint="eastAsia" w:ascii="仿宋_GB2312" w:hAnsi="宋体" w:eastAsia="仿宋_GB2312"/>
          <w:color w:val="auto"/>
          <w:sz w:val="32"/>
          <w:szCs w:val="32"/>
          <w:lang w:eastAsia="zh-CN"/>
        </w:rPr>
        <w:t>相关单位进行审核</w:t>
      </w:r>
      <w:r>
        <w:rPr>
          <w:rFonts w:hint="eastAsia" w:ascii="仿宋_GB2312" w:hAnsi="宋体" w:eastAsia="仿宋_GB2312"/>
          <w:color w:val="auto"/>
          <w:sz w:val="32"/>
          <w:szCs w:val="32"/>
        </w:rPr>
        <w:t>，审核完毕后转入财务，由财务部门按照规定</w:t>
      </w:r>
      <w:r>
        <w:rPr>
          <w:rFonts w:hint="eastAsia" w:ascii="仿宋_GB2312" w:hAnsi="宋体" w:eastAsia="仿宋_GB2312"/>
          <w:color w:val="auto"/>
          <w:sz w:val="32"/>
          <w:szCs w:val="32"/>
          <w:lang w:eastAsia="zh-CN"/>
        </w:rPr>
        <w:t>向中标人</w:t>
      </w:r>
      <w:r>
        <w:rPr>
          <w:rFonts w:hint="eastAsia" w:ascii="仿宋_GB2312" w:hAnsi="宋体" w:eastAsia="仿宋_GB2312"/>
          <w:color w:val="auto"/>
          <w:sz w:val="32"/>
          <w:szCs w:val="32"/>
        </w:rPr>
        <w:t>支付</w:t>
      </w:r>
      <w:r>
        <w:rPr>
          <w:rFonts w:hint="eastAsia" w:ascii="仿宋_GB2312" w:hAnsi="宋体" w:eastAsia="仿宋_GB2312"/>
          <w:color w:val="auto"/>
          <w:sz w:val="32"/>
          <w:szCs w:val="32"/>
          <w:lang w:eastAsia="zh-CN"/>
        </w:rPr>
        <w:t>费用</w:t>
      </w:r>
      <w:r>
        <w:rPr>
          <w:rFonts w:hint="eastAsia" w:ascii="仿宋_GB2312" w:hAnsi="宋体" w:eastAsia="仿宋_GB2312"/>
          <w:color w:val="auto"/>
          <w:sz w:val="32"/>
          <w:szCs w:val="32"/>
        </w:rPr>
        <w:t>，结算一般采取</w:t>
      </w:r>
      <w:r>
        <w:rPr>
          <w:rFonts w:hint="eastAsia" w:ascii="仿宋_GB2312" w:hAnsi="宋体" w:eastAsia="仿宋_GB2312"/>
          <w:color w:val="auto"/>
          <w:sz w:val="32"/>
          <w:szCs w:val="32"/>
          <w:lang w:eastAsia="zh-CN"/>
        </w:rPr>
        <w:t>电子</w:t>
      </w:r>
      <w:r>
        <w:rPr>
          <w:rFonts w:hint="eastAsia" w:ascii="仿宋_GB2312" w:hAnsi="宋体" w:eastAsia="仿宋_GB2312"/>
          <w:color w:val="auto"/>
          <w:sz w:val="32"/>
          <w:szCs w:val="32"/>
        </w:rPr>
        <w:t>承兑或</w:t>
      </w:r>
      <w:r>
        <w:rPr>
          <w:rFonts w:hint="eastAsia" w:ascii="仿宋_GB2312" w:hAnsi="宋体" w:eastAsia="仿宋_GB2312"/>
          <w:color w:val="auto"/>
          <w:sz w:val="32"/>
          <w:szCs w:val="32"/>
          <w:lang w:eastAsia="zh-CN"/>
        </w:rPr>
        <w:t>内部转账</w:t>
      </w:r>
      <w:r>
        <w:rPr>
          <w:rFonts w:hint="eastAsia" w:ascii="仿宋_GB2312" w:hAnsi="宋体" w:eastAsia="仿宋_GB2312"/>
          <w:color w:val="auto"/>
          <w:sz w:val="32"/>
          <w:szCs w:val="32"/>
        </w:rPr>
        <w:t>方式</w:t>
      </w:r>
      <w:r>
        <w:rPr>
          <w:rFonts w:hint="eastAsia" w:ascii="仿宋_GB2312" w:hAnsi="仿宋_GB2312" w:eastAsia="仿宋_GB2312"/>
          <w:color w:val="auto"/>
          <w:sz w:val="32"/>
          <w:szCs w:val="32"/>
          <w:lang w:eastAsia="zh-CN"/>
        </w:rPr>
        <w:t>。</w:t>
      </w:r>
    </w:p>
    <w:p w14:paraId="5EC2463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w:t>
      </w:r>
      <w:r>
        <w:rPr>
          <w:rFonts w:hint="eastAsia" w:ascii="仿宋_GB2312" w:hAnsi="宋体" w:eastAsia="仿宋_GB2312" w:cs="Times New Roman"/>
          <w:color w:val="auto"/>
          <w:sz w:val="32"/>
          <w:szCs w:val="32"/>
        </w:rPr>
        <w:t>如因乙方原因造成法院协助执行等情形，甲方须直接支付法院或第三人现汇的，甲方有权按照年利率6%-10%扣除承兑汇票转付现汇的资金成本。</w:t>
      </w:r>
    </w:p>
    <w:p w14:paraId="032AC17D">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（七）拟招承揽单位数量及合同期限：</w:t>
      </w:r>
    </w:p>
    <w:p w14:paraId="4E403424">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 xml:space="preserve">1. </w:t>
      </w:r>
      <w:r>
        <w:rPr>
          <w:rFonts w:ascii="仿宋_GB2312" w:hAnsi="宋体" w:eastAsia="仿宋_GB2312"/>
          <w:color w:val="auto"/>
          <w:sz w:val="32"/>
          <w:szCs w:val="32"/>
        </w:rPr>
        <w:t>拟招承揽单位数量：</w:t>
      </w:r>
      <w:r>
        <w:rPr>
          <w:rFonts w:hint="eastAsia" w:ascii="仿宋_GB2312" w:hAnsi="宋体" w:eastAsia="仿宋_GB2312"/>
          <w:color w:val="auto"/>
          <w:sz w:val="32"/>
          <w:szCs w:val="32"/>
        </w:rPr>
        <w:t>本次拟招</w:t>
      </w:r>
      <w:r>
        <w:rPr>
          <w:rFonts w:hint="eastAsia" w:ascii="仿宋_GB2312" w:hAnsi="宋体" w:eastAsia="仿宋_GB2312"/>
          <w:color w:val="auto"/>
          <w:sz w:val="32"/>
          <w:szCs w:val="32"/>
          <w:lang w:eastAsia="zh-CN"/>
        </w:rPr>
        <w:t>不超过</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家</w:t>
      </w:r>
      <w:r>
        <w:rPr>
          <w:rFonts w:hint="eastAsia" w:ascii="仿宋_GB2312" w:hAnsi="宋体" w:eastAsia="仿宋_GB2312"/>
          <w:color w:val="auto"/>
          <w:sz w:val="32"/>
          <w:szCs w:val="32"/>
          <w:lang w:eastAsia="zh-CN"/>
        </w:rPr>
        <w:t>（含</w:t>
      </w:r>
      <w:r>
        <w:rPr>
          <w:rFonts w:hint="eastAsia" w:ascii="仿宋_GB2312" w:hAnsi="宋体" w:eastAsia="仿宋_GB2312"/>
          <w:color w:val="auto"/>
          <w:sz w:val="32"/>
          <w:szCs w:val="32"/>
          <w:lang w:val="en-US" w:eastAsia="zh-CN"/>
        </w:rPr>
        <w:t>4家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承揽单位。</w:t>
      </w:r>
    </w:p>
    <w:p w14:paraId="3A86A9AA">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 合同期限：1年</w:t>
      </w:r>
      <w:r>
        <w:rPr>
          <w:rFonts w:hint="eastAsia" w:ascii="仿宋_GB2312" w:hAnsi="宋体" w:eastAsia="仿宋_GB2312"/>
          <w:color w:val="auto"/>
          <w:sz w:val="32"/>
          <w:szCs w:val="32"/>
        </w:rPr>
        <w:t>。</w:t>
      </w:r>
    </w:p>
    <w:p w14:paraId="3968E85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违约责任：</w:t>
      </w:r>
    </w:p>
    <w:p w14:paraId="090AFE3C">
      <w:p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 投标方不能满足吊装要求，招标方有权更换单位，投标方不得有异议。</w:t>
      </w:r>
    </w:p>
    <w:p w14:paraId="054005D9">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2. 投标方</w:t>
      </w:r>
      <w:r>
        <w:rPr>
          <w:rFonts w:hint="eastAsia" w:ascii="仿宋_GB2312" w:hAnsi="宋体" w:eastAsia="仿宋_GB2312"/>
          <w:color w:val="auto"/>
          <w:sz w:val="32"/>
          <w:szCs w:val="32"/>
          <w:lang w:val="en-US" w:eastAsia="zh-CN"/>
        </w:rPr>
        <w:t>接到</w:t>
      </w:r>
      <w:r>
        <w:rPr>
          <w:rFonts w:hint="eastAsia" w:ascii="仿宋_GB2312" w:hAnsi="宋体" w:eastAsia="仿宋_GB2312"/>
          <w:color w:val="auto"/>
          <w:sz w:val="32"/>
          <w:szCs w:val="32"/>
          <w:lang w:val="en-US" w:eastAsia="zh-CN"/>
        </w:rPr>
        <w:t>招标方的计划通知后，负责安排吊车按时到达招标方</w:t>
      </w:r>
      <w:r>
        <w:rPr>
          <w:rFonts w:hint="eastAsia" w:ascii="仿宋_GB2312" w:hAnsi="宋体" w:eastAsia="仿宋_GB2312"/>
          <w:color w:val="auto"/>
          <w:sz w:val="32"/>
          <w:szCs w:val="32"/>
          <w:lang w:val="en-US" w:eastAsia="zh-CN"/>
        </w:rPr>
        <w:t>指定</w:t>
      </w:r>
      <w:r>
        <w:rPr>
          <w:rFonts w:hint="eastAsia" w:ascii="仿宋_GB2312" w:hAnsi="宋体" w:eastAsia="仿宋_GB2312"/>
          <w:color w:val="auto"/>
          <w:sz w:val="32"/>
          <w:szCs w:val="32"/>
          <w:lang w:val="en-US" w:eastAsia="zh-CN"/>
        </w:rPr>
        <w:t>的作业地点。</w:t>
      </w:r>
      <w:r>
        <w:rPr>
          <w:rFonts w:hint="eastAsia" w:ascii="仿宋_GB2312" w:hAnsi="宋体" w:eastAsia="仿宋_GB2312"/>
          <w:color w:val="auto"/>
          <w:sz w:val="32"/>
          <w:szCs w:val="32"/>
        </w:rPr>
        <w:t>进入</w:t>
      </w:r>
      <w:r>
        <w:rPr>
          <w:rFonts w:hint="eastAsia" w:ascii="仿宋_GB2312" w:hAnsi="宋体" w:eastAsia="仿宋_GB2312"/>
          <w:color w:val="auto"/>
          <w:sz w:val="32"/>
          <w:szCs w:val="32"/>
          <w:lang w:val="en-US" w:eastAsia="zh-CN"/>
        </w:rPr>
        <w:t>作业地点</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投标方</w:t>
      </w:r>
      <w:r>
        <w:rPr>
          <w:rFonts w:hint="eastAsia" w:ascii="仿宋_GB2312" w:hAnsi="宋体" w:eastAsia="仿宋_GB2312"/>
          <w:color w:val="auto"/>
          <w:sz w:val="32"/>
          <w:szCs w:val="32"/>
        </w:rPr>
        <w:t>施工人员要听从</w:t>
      </w:r>
      <w:r>
        <w:rPr>
          <w:rFonts w:hint="eastAsia" w:ascii="仿宋_GB2312" w:hAnsi="宋体" w:eastAsia="仿宋_GB2312"/>
          <w:color w:val="auto"/>
          <w:sz w:val="32"/>
          <w:szCs w:val="32"/>
          <w:lang w:val="en-US" w:eastAsia="zh-CN"/>
        </w:rPr>
        <w:t>招标</w:t>
      </w:r>
      <w:r>
        <w:rPr>
          <w:rFonts w:hint="eastAsia" w:ascii="仿宋_GB2312" w:hAnsi="宋体" w:eastAsia="仿宋_GB2312"/>
          <w:color w:val="auto"/>
          <w:sz w:val="32"/>
          <w:szCs w:val="32"/>
        </w:rPr>
        <w:t>方现场负责人指挥、调配。吊装作业时严格按照专业指吊人员指令操作，严禁凭经验私自操作。如经劝说拒不整改的，</w:t>
      </w:r>
      <w:r>
        <w:rPr>
          <w:rFonts w:hint="eastAsia" w:ascii="仿宋_GB2312" w:hAnsi="宋体" w:eastAsia="仿宋_GB2312"/>
          <w:color w:val="auto"/>
          <w:sz w:val="32"/>
          <w:szCs w:val="32"/>
          <w:lang w:val="en-US" w:eastAsia="zh-CN"/>
        </w:rPr>
        <w:t>招标方</w:t>
      </w:r>
      <w:r>
        <w:rPr>
          <w:rFonts w:hint="eastAsia" w:ascii="仿宋_GB2312" w:hAnsi="宋体" w:eastAsia="仿宋_GB2312"/>
          <w:color w:val="auto"/>
          <w:sz w:val="32"/>
          <w:szCs w:val="32"/>
        </w:rPr>
        <w:t>有权重新安排另外的</w:t>
      </w:r>
      <w:r>
        <w:rPr>
          <w:rFonts w:hint="eastAsia" w:ascii="仿宋_GB2312" w:hAnsi="宋体" w:eastAsia="仿宋_GB2312"/>
          <w:color w:val="auto"/>
          <w:sz w:val="32"/>
          <w:szCs w:val="32"/>
          <w:lang w:val="en-US" w:eastAsia="zh-CN"/>
        </w:rPr>
        <w:t>作业单位</w:t>
      </w:r>
      <w:r>
        <w:rPr>
          <w:rFonts w:hint="eastAsia" w:ascii="仿宋_GB2312" w:hAnsi="宋体" w:eastAsia="仿宋_GB2312"/>
          <w:color w:val="auto"/>
          <w:sz w:val="32"/>
          <w:szCs w:val="32"/>
        </w:rPr>
        <w:t>，并在决算中扣减10%。</w:t>
      </w:r>
    </w:p>
    <w:p w14:paraId="7E1D6721">
      <w:pPr>
        <w:spacing w:line="560" w:lineRule="exact"/>
        <w:ind w:firstLine="640" w:firstLineChars="200"/>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投标人资格要求</w:t>
      </w:r>
    </w:p>
    <w:p w14:paraId="04EF210D">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3FDF2AED">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本项目投标单位具备以下条件：</w:t>
      </w:r>
    </w:p>
    <w:p w14:paraId="066B12EF">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（一）符合国家规定行业标准，具有独立企业法人资格，依法取得</w:t>
      </w:r>
      <w:r>
        <w:rPr>
          <w:rFonts w:hint="eastAsia" w:ascii="仿宋_GB2312" w:hAnsi="宋体" w:eastAsia="仿宋_GB2312"/>
          <w:color w:val="auto"/>
          <w:sz w:val="32"/>
          <w:szCs w:val="32"/>
          <w:lang w:val="en-US" w:eastAsia="zh-CN"/>
        </w:rPr>
        <w:t>工商营业执照</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业务开展所需的</w:t>
      </w:r>
      <w:r>
        <w:rPr>
          <w:rFonts w:hint="eastAsia" w:ascii="仿宋_GB2312" w:hAnsi="宋体" w:eastAsia="仿宋_GB2312"/>
          <w:color w:val="auto"/>
          <w:sz w:val="32"/>
          <w:szCs w:val="32"/>
        </w:rPr>
        <w:t>相关资质。</w:t>
      </w:r>
    </w:p>
    <w:p w14:paraId="6B22B12A">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（二）具有一定资金基础，注册资金在</w:t>
      </w:r>
      <w:r>
        <w:rPr>
          <w:rFonts w:ascii="仿宋_GB2312" w:hAnsi="宋体" w:eastAsia="仿宋_GB2312"/>
          <w:color w:val="auto"/>
          <w:sz w:val="32"/>
          <w:szCs w:val="32"/>
        </w:rPr>
        <w:t>5</w:t>
      </w:r>
      <w:r>
        <w:rPr>
          <w:rFonts w:hint="eastAsia" w:ascii="仿宋_GB2312" w:hAnsi="宋体" w:eastAsia="仿宋_GB2312"/>
          <w:color w:val="auto"/>
          <w:sz w:val="32"/>
          <w:szCs w:val="32"/>
        </w:rPr>
        <w:t>00万元以上。</w:t>
      </w:r>
    </w:p>
    <w:p w14:paraId="6823924A">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投标单位具有不同吨位的吊车</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合计数量大于5台（含5台）</w:t>
      </w:r>
      <w:r>
        <w:rPr>
          <w:rFonts w:hint="eastAsia" w:ascii="仿宋_GB2312" w:hAnsi="宋体" w:eastAsia="仿宋_GB2312"/>
          <w:color w:val="auto"/>
          <w:sz w:val="32"/>
          <w:szCs w:val="32"/>
        </w:rPr>
        <w:t>，参与吊车作业的车辆必须手续完备、车况良好，并具有符合国家法律法规规定的驾驶员（具有相应的资格证）</w:t>
      </w:r>
      <w:r>
        <w:rPr>
          <w:rFonts w:hint="eastAsia" w:ascii="仿宋_GB2312" w:hAnsi="宋体" w:eastAsia="仿宋_GB2312"/>
          <w:color w:val="auto"/>
          <w:sz w:val="32"/>
          <w:szCs w:val="32"/>
          <w:lang w:eastAsia="zh-CN"/>
        </w:rPr>
        <w:t>。</w:t>
      </w:r>
    </w:p>
    <w:p w14:paraId="3BB1A8D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lang w:eastAsia="zh-CN"/>
        </w:rPr>
        <w:t>）投标单位</w:t>
      </w:r>
      <w:r>
        <w:rPr>
          <w:rFonts w:hint="eastAsia" w:ascii="仿宋_GB2312" w:hAnsi="宋体" w:eastAsia="仿宋_GB2312"/>
          <w:color w:val="auto"/>
          <w:sz w:val="32"/>
          <w:szCs w:val="32"/>
          <w:lang w:val="en-US" w:eastAsia="zh-CN"/>
        </w:rPr>
        <w:t>必须要为吊车购买交通事故责任强制保险等商业保险。</w:t>
      </w:r>
    </w:p>
    <w:p w14:paraId="2766036A">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五</w:t>
      </w:r>
      <w:r>
        <w:rPr>
          <w:rFonts w:hint="eastAsia" w:ascii="仿宋_GB2312" w:hAnsi="宋体" w:eastAsia="仿宋_GB2312"/>
          <w:color w:val="auto"/>
          <w:sz w:val="32"/>
          <w:szCs w:val="32"/>
        </w:rPr>
        <w:t>）具有良好的经营行为和业绩，</w:t>
      </w:r>
      <w:r>
        <w:rPr>
          <w:rFonts w:hint="eastAsia" w:ascii="仿宋_GB2312" w:hAnsi="宋体" w:eastAsia="仿宋_GB2312" w:cs="宋体"/>
          <w:color w:val="auto"/>
          <w:sz w:val="32"/>
          <w:szCs w:val="32"/>
          <w:lang w:val="en-US" w:eastAsia="zh-CN"/>
        </w:rPr>
        <w:t>以“企查查”（www.qichacha.com）网站查询结果为依据，不得存在以下情形之一：一是“法律诉讼”项下存在“被执行人”信息。二是“经营风险”项下存在“严重违法”信息</w:t>
      </w:r>
      <w:r>
        <w:rPr>
          <w:rFonts w:hint="eastAsia" w:ascii="仿宋_GB2312" w:hAnsi="宋体" w:eastAsia="仿宋_GB2312"/>
          <w:color w:val="auto"/>
          <w:sz w:val="32"/>
          <w:szCs w:val="32"/>
        </w:rPr>
        <w:t>。</w:t>
      </w:r>
    </w:p>
    <w:p w14:paraId="2FDFB83B">
      <w:pPr>
        <w:keepNext w:val="0"/>
        <w:keepLines w:val="0"/>
        <w:pageBreakBefore w:val="0"/>
        <w:widowControl w:val="0"/>
        <w:kinsoku/>
        <w:wordWrap/>
        <w:overflowPunct/>
        <w:topLinePunct w:val="0"/>
        <w:bidi w:val="0"/>
        <w:snapToGrid/>
        <w:spacing w:after="0" w:afterLines="0"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（六）本次招标不接受联合体投标。</w:t>
      </w:r>
    </w:p>
    <w:p w14:paraId="09846734">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auto"/>
          <w:kern w:val="0"/>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w:t>
      </w:r>
      <w:r>
        <w:rPr>
          <w:rFonts w:hint="eastAsia" w:ascii="仿宋_GB2312" w:hAnsi="宋体" w:eastAsia="仿宋_GB2312"/>
          <w:color w:val="auto"/>
          <w:kern w:val="0"/>
          <w:sz w:val="32"/>
          <w:szCs w:val="32"/>
        </w:rPr>
        <w:t>报名参加投标的单位，报名时需上传</w:t>
      </w:r>
      <w:r>
        <w:rPr>
          <w:rFonts w:hint="eastAsia" w:ascii="仿宋_GB2312" w:hAnsi="宋体" w:eastAsia="仿宋_GB2312"/>
          <w:color w:val="auto"/>
          <w:kern w:val="0"/>
          <w:sz w:val="32"/>
          <w:szCs w:val="32"/>
          <w:lang w:val="en-US" w:eastAsia="zh-CN"/>
        </w:rPr>
        <w:t>PDF版</w:t>
      </w:r>
      <w:r>
        <w:rPr>
          <w:rFonts w:hint="eastAsia" w:ascii="仿宋_GB2312" w:hAnsi="宋体" w:eastAsia="仿宋_GB2312"/>
          <w:color w:val="auto"/>
          <w:kern w:val="0"/>
          <w:sz w:val="32"/>
          <w:szCs w:val="32"/>
        </w:rPr>
        <w:t>资格</w:t>
      </w:r>
      <w:r>
        <w:rPr>
          <w:rFonts w:hint="eastAsia" w:ascii="仿宋_GB2312" w:hAnsi="宋体" w:eastAsia="仿宋_GB2312"/>
          <w:color w:val="auto"/>
          <w:kern w:val="0"/>
          <w:sz w:val="32"/>
          <w:szCs w:val="32"/>
          <w:lang w:val="en-US" w:eastAsia="zh-CN"/>
        </w:rPr>
        <w:t>审查</w:t>
      </w:r>
      <w:r>
        <w:rPr>
          <w:rFonts w:hint="eastAsia" w:ascii="仿宋_GB2312" w:hAnsi="宋体" w:eastAsia="仿宋_GB2312"/>
          <w:color w:val="auto"/>
          <w:kern w:val="0"/>
          <w:sz w:val="32"/>
          <w:szCs w:val="32"/>
        </w:rPr>
        <w:t>文件</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内容包括但不限于营业执照，道路经营许可证，</w:t>
      </w:r>
      <w:r>
        <w:rPr>
          <w:rFonts w:hint="eastAsia" w:ascii="仿宋_GB2312" w:hAnsi="宋体" w:eastAsia="仿宋_GB2312" w:cs="宋体"/>
          <w:color w:val="auto"/>
          <w:sz w:val="32"/>
          <w:szCs w:val="32"/>
          <w:lang w:val="en-US" w:eastAsia="zh-CN"/>
        </w:rPr>
        <w:t>自有吊车的行驶证、车辆检验合格证等证件复印件，驾驶人员的驾驶证及操作证复印件，</w:t>
      </w:r>
      <w:r>
        <w:rPr>
          <w:rFonts w:hint="eastAsia" w:ascii="仿宋_GB2312" w:hAnsi="宋体" w:eastAsia="仿宋_GB2312"/>
          <w:color w:val="auto"/>
          <w:kern w:val="0"/>
          <w:sz w:val="32"/>
          <w:szCs w:val="32"/>
          <w:lang w:val="en-US" w:eastAsia="zh-CN"/>
        </w:rPr>
        <w:t>车辆商业保险，企查查等国家官网查询截图，相关类似业绩合同及结算发票，投标保证金凭证等</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物流运输</w:t>
      </w:r>
      <w:r>
        <w:rPr>
          <w:rFonts w:hint="eastAsia" w:ascii="仿宋_GB2312" w:hAnsi="宋体" w:eastAsia="仿宋_GB2312"/>
          <w:color w:val="auto"/>
          <w:kern w:val="0"/>
          <w:sz w:val="32"/>
          <w:szCs w:val="32"/>
        </w:rPr>
        <w:t>部将根据项目情况组织联合考察，对不符合招标条件或故意弄虚作假者，取消投标资格。</w:t>
      </w:r>
    </w:p>
    <w:p w14:paraId="78F25793">
      <w:pPr>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80" w:lineRule="exact"/>
        <w:ind w:firstLine="640" w:firstLineChars="200"/>
        <w:jc w:val="left"/>
        <w:textAlignment w:val="center"/>
        <w:rPr>
          <w:rFonts w:ascii="黑体" w:hAnsi="黑体" w:eastAsia="黑体" w:cs="宋体"/>
          <w:color w:val="auto"/>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olor w:val="auto"/>
          <w:sz w:val="32"/>
          <w:szCs w:val="32"/>
        </w:rPr>
        <w:t>、</w:t>
      </w:r>
      <w:r>
        <w:rPr>
          <w:rFonts w:hint="eastAsia" w:ascii="黑体" w:hAnsi="黑体" w:eastAsia="黑体" w:cs="宋体"/>
          <w:color w:val="auto"/>
          <w:sz w:val="32"/>
          <w:szCs w:val="32"/>
        </w:rPr>
        <w:t>投标人须知</w:t>
      </w:r>
    </w:p>
    <w:p w14:paraId="3F79195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本次招标采用网上报名、网上审核的方式。凡有意参加的潜在投标人，在公告期内登陆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205B8178">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w:t>
      </w:r>
      <w:r>
        <w:rPr>
          <w:rFonts w:hint="eastAsia" w:ascii="仿宋_GB2312" w:hAnsi="Times New Roman" w:eastAsia="仿宋_GB2312" w:cs="Times New Roman"/>
          <w:color w:val="auto"/>
          <w:sz w:val="32"/>
          <w:szCs w:val="32"/>
          <w:highlight w:val="none"/>
        </w:rPr>
        <w:t>有弄虚作假的行为，有权做废标或取消中标资格处理。</w:t>
      </w:r>
    </w:p>
    <w:p w14:paraId="351779FE">
      <w:pPr>
        <w:keepNext w:val="0"/>
        <w:keepLines w:val="0"/>
        <w:pageBreakBefore w:val="0"/>
        <w:numPr>
          <w:ilvl w:val="0"/>
          <w:numId w:val="0"/>
        </w:numPr>
        <w:tabs>
          <w:tab w:val="left" w:pos="993"/>
        </w:tabs>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宋体" w:eastAsia="仿宋_GB2312"/>
          <w:color w:val="auto"/>
          <w:sz w:val="32"/>
          <w:szCs w:val="32"/>
          <w:lang w:eastAsia="zh-CN"/>
        </w:rPr>
        <w:t>本项目中需要</w:t>
      </w:r>
      <w:r>
        <w:rPr>
          <w:rFonts w:hint="eastAsia" w:ascii="仿宋_GB2312" w:hAnsi="宋体" w:eastAsia="仿宋_GB2312"/>
          <w:color w:val="auto"/>
          <w:sz w:val="32"/>
          <w:szCs w:val="32"/>
          <w:lang w:val="en-US" w:eastAsia="zh-CN"/>
        </w:rPr>
        <w:t>24小时作业的，</w:t>
      </w:r>
      <w:r>
        <w:rPr>
          <w:rFonts w:hint="eastAsia" w:ascii="仿宋_GB2312" w:hAnsi="宋体" w:eastAsia="仿宋_GB2312"/>
          <w:color w:val="auto"/>
          <w:sz w:val="32"/>
          <w:szCs w:val="32"/>
        </w:rPr>
        <w:t>投标人自主配备足够的车辆、设备、设施及所属车辆、设备的操作人员，承担所属设备、设施的生产、运营和维修，保证具备长期、连续、稳定、安全的保障能力。</w:t>
      </w:r>
    </w:p>
    <w:p w14:paraId="74A8B33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olor w:val="auto"/>
          <w:sz w:val="32"/>
          <w:szCs w:val="32"/>
          <w:lang w:eastAsia="zh-CN"/>
        </w:rPr>
        <w:t>本项目所使用的</w:t>
      </w:r>
      <w:r>
        <w:rPr>
          <w:rFonts w:hint="eastAsia" w:ascii="仿宋_GB2312" w:hAnsi="仿宋_GB2312" w:eastAsia="仿宋_GB2312"/>
          <w:color w:val="auto"/>
          <w:sz w:val="32"/>
          <w:szCs w:val="32"/>
        </w:rPr>
        <w:t>运输车辆</w:t>
      </w:r>
      <w:r>
        <w:rPr>
          <w:rFonts w:hint="eastAsia" w:ascii="仿宋_GB2312" w:hAnsi="仿宋_GB2312" w:eastAsia="仿宋_GB2312"/>
          <w:color w:val="auto"/>
          <w:sz w:val="32"/>
          <w:szCs w:val="32"/>
          <w:lang w:eastAsia="zh-CN"/>
        </w:rPr>
        <w:t>或机械设备</w:t>
      </w:r>
      <w:r>
        <w:rPr>
          <w:rFonts w:hint="eastAsia" w:ascii="仿宋_GB2312" w:hAnsi="仿宋_GB2312" w:eastAsia="仿宋_GB2312"/>
          <w:color w:val="auto"/>
          <w:sz w:val="32"/>
          <w:szCs w:val="32"/>
        </w:rPr>
        <w:t>需</w:t>
      </w:r>
      <w:r>
        <w:rPr>
          <w:rFonts w:hint="eastAsia" w:ascii="仿宋_GB2312" w:hAnsi="仿宋_GB2312" w:eastAsia="仿宋_GB2312"/>
          <w:color w:val="auto"/>
          <w:sz w:val="32"/>
          <w:szCs w:val="32"/>
          <w:lang w:eastAsia="zh-CN"/>
        </w:rPr>
        <w:t>满足招标人的环保要求，</w:t>
      </w:r>
      <w:r>
        <w:rPr>
          <w:rFonts w:hint="eastAsia" w:ascii="仿宋_GB2312" w:hAnsi="仿宋_GB2312" w:eastAsia="仿宋_GB2312"/>
          <w:color w:val="auto"/>
          <w:sz w:val="32"/>
          <w:szCs w:val="32"/>
        </w:rPr>
        <w:t>并</w:t>
      </w:r>
      <w:r>
        <w:rPr>
          <w:rFonts w:hint="eastAsia" w:ascii="仿宋_GB2312" w:hAnsi="仿宋_GB2312" w:eastAsia="仿宋_GB2312"/>
          <w:color w:val="auto"/>
          <w:sz w:val="32"/>
          <w:szCs w:val="32"/>
          <w:lang w:eastAsia="zh-CN"/>
        </w:rPr>
        <w:t>需</w:t>
      </w:r>
      <w:r>
        <w:rPr>
          <w:rFonts w:hint="eastAsia" w:ascii="仿宋_GB2312" w:hAnsi="仿宋_GB2312" w:eastAsia="仿宋_GB2312"/>
          <w:color w:val="auto"/>
          <w:sz w:val="32"/>
          <w:szCs w:val="32"/>
        </w:rPr>
        <w:t>根据招标人的环保绩效开展情况更新运营车辆或机械设备</w:t>
      </w:r>
      <w:r>
        <w:rPr>
          <w:rFonts w:hint="eastAsia" w:ascii="仿宋_GB2312" w:hAnsi="仿宋_GB2312" w:eastAsia="仿宋_GB2312"/>
          <w:color w:val="auto"/>
          <w:sz w:val="32"/>
          <w:szCs w:val="32"/>
          <w:lang w:eastAsia="zh-CN"/>
        </w:rPr>
        <w:t>。</w:t>
      </w:r>
    </w:p>
    <w:p w14:paraId="7129F7D4">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宋体" w:eastAsia="仿宋_GB2312"/>
          <w:color w:val="auto"/>
          <w:sz w:val="32"/>
          <w:szCs w:val="32"/>
          <w:lang w:val="en-US" w:eastAsia="zh-CN"/>
        </w:rPr>
        <w:t>因招标方生产需要，要求中标方机械设备或车辆进行信息化升级等改造的，中标方应积极配合，招标人不承担因此产生的一切费用和后果。</w:t>
      </w:r>
    </w:p>
    <w:p w14:paraId="07214A7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宋体" w:eastAsia="仿宋_GB2312"/>
          <w:color w:val="auto"/>
          <w:sz w:val="32"/>
          <w:szCs w:val="32"/>
          <w:lang w:eastAsia="zh-CN"/>
        </w:rPr>
        <w:t>该项目报价为包干价，包含作业过程中的一切费用。为保证投标人报价合理性和了解潜在风险，建议潜在投标人根据投标标的现场查看、了解运输作业情况和满足项目实施所需车型、环保要求、数量及业务使用单位管理要求等事项。</w:t>
      </w:r>
    </w:p>
    <w:p w14:paraId="62CF7152">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须按照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的要求在</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指定区域作业，不得影响</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正常生产节奏。</w:t>
      </w:r>
    </w:p>
    <w:p w14:paraId="3A7CF06F">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olor w:val="auto"/>
          <w:sz w:val="32"/>
          <w:szCs w:val="32"/>
          <w:u w:val="none"/>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因招标人物流优化或生产计划发生变化等原因，造成投标人业务取消或业务量减少的，招标人不承担任何责任。</w:t>
      </w:r>
    </w:p>
    <w:p w14:paraId="549E019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当招标人认为中标人无法满足招标人业务需求或中标人主动退出时，招标人可以随时选择重新招标。</w:t>
      </w:r>
    </w:p>
    <w:p w14:paraId="5430780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10.本业务禁止外包。</w:t>
      </w:r>
    </w:p>
    <w:p w14:paraId="02721A7B">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lang w:val="en-US" w:eastAsia="zh-CN"/>
        </w:rPr>
        <w:t>五</w:t>
      </w:r>
      <w:r>
        <w:rPr>
          <w:rFonts w:hint="eastAsia" w:ascii="黑体" w:hAnsi="黑体" w:eastAsia="黑体" w:cs="宋体"/>
          <w:color w:val="auto"/>
          <w:sz w:val="32"/>
          <w:szCs w:val="32"/>
        </w:rPr>
        <w:t>、报名截止时间</w:t>
      </w:r>
    </w:p>
    <w:p w14:paraId="63DC5CA1">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lang w:eastAsia="zh-CN"/>
        </w:rPr>
        <w:t>。</w:t>
      </w:r>
    </w:p>
    <w:p w14:paraId="5A04619E">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rPr>
        <w:t>。</w:t>
      </w:r>
    </w:p>
    <w:p w14:paraId="6B1E4AB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4965137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46D2E0C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09A81B1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26CEEC8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1543040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78E579F4">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w:t>
      </w:r>
    </w:p>
    <w:p w14:paraId="1174BA7D">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宋体" w:eastAsia="仿宋_GB2312"/>
          <w:color w:val="auto"/>
          <w:sz w:val="32"/>
          <w:szCs w:val="32"/>
          <w:highlight w:val="none"/>
        </w:rPr>
      </w:pPr>
      <w:r>
        <w:rPr>
          <w:rFonts w:hint="eastAsia" w:ascii="仿宋_GB2312" w:eastAsia="仿宋_GB2312"/>
          <w:color w:val="auto"/>
          <w:sz w:val="32"/>
          <w:szCs w:val="32"/>
          <w:lang w:val="en-US" w:eastAsia="zh-CN"/>
        </w:rPr>
        <w:t>九</w:t>
      </w:r>
      <w:r>
        <w:rPr>
          <w:rFonts w:hint="eastAsia" w:ascii="仿宋_GB2312" w:eastAsia="仿宋_GB2312"/>
          <w:color w:val="auto"/>
          <w:sz w:val="32"/>
          <w:szCs w:val="32"/>
          <w:lang w:eastAsia="zh-CN"/>
        </w:rPr>
        <w:t>、</w:t>
      </w:r>
      <w:r>
        <w:rPr>
          <w:rFonts w:hint="eastAsia" w:ascii="黑体" w:hAnsi="黑体" w:eastAsia="黑体" w:cs="宋体"/>
          <w:color w:val="auto"/>
          <w:kern w:val="0"/>
          <w:sz w:val="32"/>
          <w:szCs w:val="32"/>
          <w:lang w:val="en-US" w:eastAsia="zh-CN"/>
        </w:rPr>
        <w:t>保证金收取</w:t>
      </w:r>
    </w:p>
    <w:p w14:paraId="6390306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7万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02EB7FCE">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743C9229">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26BC95F6">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276A09CF">
      <w:pPr>
        <w:pStyle w:val="2"/>
        <w:ind w:firstLine="1600" w:firstLineChars="500"/>
        <w:rPr>
          <w:rFonts w:hint="eastAsia" w:eastAsia="仿宋_GB2312"/>
          <w:color w:val="auto"/>
          <w:lang w:eastAsia="zh-CN"/>
        </w:rPr>
      </w:pPr>
      <w:r>
        <w:rPr>
          <w:rFonts w:hint="eastAsia" w:ascii="仿宋" w:hAnsi="仿宋" w:eastAsia="仿宋" w:cs="仿宋"/>
          <w:color w:val="auto"/>
          <w:sz w:val="32"/>
          <w:szCs w:val="32"/>
        </w:rPr>
        <w:t>账号：376010101100006482</w:t>
      </w:r>
    </w:p>
    <w:p w14:paraId="1298E3A3">
      <w:pPr>
        <w:keepNext w:val="0"/>
        <w:keepLines w:val="0"/>
        <w:pageBreakBefore w:val="0"/>
        <w:widowControl w:val="0"/>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十、</w:t>
      </w:r>
      <w:r>
        <w:rPr>
          <w:rFonts w:hint="eastAsia" w:ascii="黑体" w:hAnsi="黑体" w:eastAsia="黑体"/>
          <w:color w:val="auto"/>
          <w:sz w:val="32"/>
          <w:szCs w:val="32"/>
        </w:rPr>
        <w:t>评标方法</w:t>
      </w:r>
    </w:p>
    <w:p w14:paraId="5D824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采取综合评估法进行评标，技术</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0分，商务</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0分，综合排名</w:t>
      </w:r>
      <w:r>
        <w:rPr>
          <w:rFonts w:hint="eastAsia" w:ascii="仿宋_GB2312" w:hAnsi="仿宋_GB2312" w:eastAsia="仿宋_GB2312" w:cs="仿宋_GB2312"/>
          <w:color w:val="auto"/>
          <w:sz w:val="32"/>
          <w:szCs w:val="32"/>
          <w:lang w:val="en-US" w:eastAsia="zh-CN"/>
        </w:rPr>
        <w:t>前4名</w:t>
      </w:r>
      <w:r>
        <w:rPr>
          <w:rFonts w:hint="eastAsia" w:ascii="仿宋_GB2312" w:hAnsi="仿宋_GB2312" w:eastAsia="仿宋_GB2312" w:cs="仿宋_GB2312"/>
          <w:color w:val="auto"/>
          <w:sz w:val="32"/>
          <w:szCs w:val="32"/>
        </w:rPr>
        <w:t>的单位</w:t>
      </w:r>
      <w:r>
        <w:rPr>
          <w:rFonts w:hint="eastAsia" w:ascii="仿宋_GB2312" w:hAnsi="仿宋_GB2312" w:eastAsia="仿宋_GB2312" w:cs="仿宋_GB2312"/>
          <w:color w:val="auto"/>
          <w:sz w:val="32"/>
          <w:szCs w:val="32"/>
          <w:lang w:val="en-US" w:eastAsia="zh-CN"/>
        </w:rPr>
        <w:t>为拟</w:t>
      </w:r>
      <w:r>
        <w:rPr>
          <w:rFonts w:hint="eastAsia" w:ascii="仿宋_GB2312" w:hAnsi="仿宋_GB2312" w:eastAsia="仿宋_GB2312" w:cs="仿宋_GB2312"/>
          <w:color w:val="auto"/>
          <w:sz w:val="32"/>
          <w:szCs w:val="32"/>
        </w:rPr>
        <w:t>中标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综合排名</w:t>
      </w:r>
      <w:r>
        <w:rPr>
          <w:rFonts w:hint="eastAsia" w:ascii="仿宋_GB2312" w:hAnsi="仿宋_GB2312" w:eastAsia="仿宋_GB2312" w:cs="仿宋_GB2312"/>
          <w:color w:val="auto"/>
          <w:sz w:val="32"/>
          <w:szCs w:val="32"/>
        </w:rPr>
        <w:t>出现并列情况，</w:t>
      </w:r>
      <w:r>
        <w:rPr>
          <w:rFonts w:hint="eastAsia" w:ascii="仿宋_GB2312" w:hAnsi="仿宋_GB2312" w:eastAsia="仿宋_GB2312" w:cs="仿宋_GB2312"/>
          <w:color w:val="auto"/>
          <w:sz w:val="32"/>
          <w:szCs w:val="32"/>
          <w:lang w:eastAsia="zh-CN"/>
        </w:rPr>
        <w:t>山钢产业协同白名单单位优先，仍存在综合排名</w:t>
      </w:r>
      <w:r>
        <w:rPr>
          <w:rFonts w:hint="eastAsia" w:ascii="仿宋_GB2312" w:hAnsi="仿宋_GB2312" w:eastAsia="仿宋_GB2312" w:cs="仿宋_GB2312"/>
          <w:color w:val="auto"/>
          <w:sz w:val="32"/>
          <w:szCs w:val="32"/>
          <w:lang w:val="en-US" w:eastAsia="zh-CN"/>
        </w:rPr>
        <w:t>并列单位</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技术标排名顺序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决定最终综合排名顺序，确定拟中标单位。</w:t>
      </w:r>
    </w:p>
    <w:p w14:paraId="7AAFDF2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中标价格的确定原则：以单项标的平均值为基准，单项标的报价高于/低于平均值30%的，视为无效报价，原则上取合理报价中的最低报价作为标的拟中标价格，从而定出所有标的的拟中标价格，与拟中标单位进行价格磋商，如不接受此价格，由排名靠后单位依次递补，确定拟中标单位。</w:t>
      </w:r>
    </w:p>
    <w:p w14:paraId="6A05336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源分配原则：招标方各业务使用单位分别与中标单位签订合同，原则上按最终实际排名先后顺序分配业务计划的同时，业务使用单位有权根据中标单位在作业中的服务质量、履约能力等，调整业务计划分配排序。</w:t>
      </w:r>
    </w:p>
    <w:p w14:paraId="36861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十一</w:t>
      </w:r>
      <w:r>
        <w:rPr>
          <w:rFonts w:hint="eastAsia" w:ascii="黑体" w:hAnsi="黑体" w:eastAsia="黑体"/>
          <w:color w:val="auto"/>
          <w:sz w:val="32"/>
          <w:szCs w:val="32"/>
        </w:rPr>
        <w:t>、联系方式</w:t>
      </w:r>
    </w:p>
    <w:p w14:paraId="2AA963F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联系地址：</w:t>
      </w:r>
      <w:r>
        <w:rPr>
          <w:rFonts w:hint="eastAsia" w:ascii="仿宋_GB2312" w:eastAsia="仿宋_GB2312" w:cs="Times New Roman"/>
          <w:color w:val="auto"/>
          <w:sz w:val="32"/>
          <w:szCs w:val="32"/>
          <w:lang w:val="en-US" w:eastAsia="zh-CN"/>
        </w:rPr>
        <w:t>招标中心</w:t>
      </w:r>
    </w:p>
    <w:p w14:paraId="10DAE4C7">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58B6337E">
      <w:pPr>
        <w:spacing w:line="560" w:lineRule="exact"/>
        <w:ind w:firstLine="640" w:firstLineChars="200"/>
        <w:rPr>
          <w:rFonts w:hint="eastAsia" w:ascii="黑体" w:hAnsi="黑体" w:eastAsia="黑体"/>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0531-769231</w:t>
      </w:r>
      <w:r>
        <w:rPr>
          <w:rFonts w:hint="eastAsia" w:ascii="仿宋_GB2312" w:hAnsi="仿宋_GB2312" w:eastAsia="仿宋_GB2312" w:cs="仿宋_GB2312"/>
          <w:color w:val="auto"/>
          <w:sz w:val="32"/>
          <w:szCs w:val="32"/>
          <w:lang w:val="en-US" w:eastAsia="zh-CN"/>
        </w:rPr>
        <w:t>96</w:t>
      </w:r>
    </w:p>
    <w:p w14:paraId="5C1B8C6C">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rPr>
        <w:t>投标有关要求</w:t>
      </w:r>
    </w:p>
    <w:p w14:paraId="3DEF6EC1">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按照时间、节点要求报名，逾期者不能参与</w:t>
      </w:r>
      <w:r>
        <w:rPr>
          <w:rFonts w:ascii="仿宋_GB2312" w:hAnsi="宋体" w:eastAsia="仿宋_GB2312"/>
          <w:color w:val="auto"/>
          <w:sz w:val="32"/>
          <w:szCs w:val="32"/>
        </w:rPr>
        <w:t>本次投标</w:t>
      </w:r>
      <w:r>
        <w:rPr>
          <w:rFonts w:hint="eastAsia" w:ascii="仿宋_GB2312" w:hAnsi="宋体" w:eastAsia="仿宋_GB2312"/>
          <w:color w:val="auto"/>
          <w:sz w:val="32"/>
          <w:szCs w:val="32"/>
        </w:rPr>
        <w:t>。</w:t>
      </w:r>
    </w:p>
    <w:p w14:paraId="345EF89D">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提供单位</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证明材料</w:t>
      </w:r>
      <w:r>
        <w:rPr>
          <w:rFonts w:hint="eastAsia" w:ascii="仿宋_GB2312" w:hAnsi="宋体" w:eastAsia="仿宋_GB2312"/>
          <w:color w:val="auto"/>
          <w:sz w:val="32"/>
          <w:szCs w:val="32"/>
          <w:lang w:eastAsia="zh-CN"/>
        </w:rPr>
        <w:t>要</w:t>
      </w:r>
      <w:r>
        <w:rPr>
          <w:rFonts w:hint="eastAsia" w:ascii="仿宋_GB2312" w:hAnsi="宋体" w:eastAsia="仿宋_GB2312"/>
          <w:color w:val="auto"/>
          <w:sz w:val="32"/>
          <w:szCs w:val="32"/>
        </w:rPr>
        <w:t>清楚、完整、合法并加盖单位公章，发现弄虚作假者取消资格。</w:t>
      </w:r>
    </w:p>
    <w:p w14:paraId="1B322D62">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F11AAED">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三.</w:t>
      </w:r>
      <w:r>
        <w:rPr>
          <w:rFonts w:hint="eastAsia" w:ascii="黑体" w:hAnsi="黑体" w:eastAsia="黑体" w:cs="宋体"/>
          <w:color w:val="auto"/>
          <w:sz w:val="32"/>
          <w:szCs w:val="32"/>
        </w:rPr>
        <w:t>投标有关表格</w:t>
      </w:r>
    </w:p>
    <w:p w14:paraId="6D3278C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1.报价清单</w:t>
      </w:r>
    </w:p>
    <w:p w14:paraId="2C610084">
      <w:pPr>
        <w:rPr>
          <w:rFonts w:hint="default"/>
          <w:color w:val="auto"/>
          <w:lang w:val="en-US" w:eastAsia="zh-CN"/>
        </w:rPr>
      </w:pPr>
      <w:r>
        <w:rPr>
          <w:rFonts w:hint="eastAsia" w:ascii="仿宋_GB2312" w:hAnsi="宋体" w:eastAsia="仿宋_GB2312"/>
          <w:color w:val="auto"/>
          <w:sz w:val="32"/>
          <w:szCs w:val="32"/>
          <w:lang w:val="en-US" w:eastAsia="zh-CN"/>
        </w:rPr>
        <w:t xml:space="preserve">    附件2.评分规则</w:t>
      </w:r>
      <w:bookmarkStart w:id="1" w:name="_GoBack"/>
      <w:bookmarkEnd w:id="1"/>
    </w:p>
    <w:p w14:paraId="1EB47EE8">
      <w:pPr>
        <w:spacing w:line="560" w:lineRule="exact"/>
        <w:ind w:firstLine="640" w:firstLineChars="200"/>
        <w:rPr>
          <w:rFonts w:hint="eastAsia" w:ascii="仿宋_GB2312" w:hAnsi="宋体" w:eastAsia="仿宋_GB2312"/>
          <w:color w:val="auto"/>
          <w:sz w:val="32"/>
          <w:szCs w:val="32"/>
        </w:rPr>
      </w:pPr>
    </w:p>
    <w:p w14:paraId="025FBA32">
      <w:pPr>
        <w:rPr>
          <w:rFonts w:ascii="黑体" w:hAnsi="黑体" w:eastAsia="黑体"/>
          <w:color w:val="auto"/>
          <w:szCs w:val="21"/>
        </w:rPr>
      </w:pPr>
    </w:p>
    <w:p w14:paraId="0CF33441">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5120" w:firstLineChars="1600"/>
        <w:jc w:val="both"/>
        <w:textAlignment w:val="auto"/>
        <w:rPr>
          <w:rFonts w:hint="eastAsia" w:ascii="仿宋_GB2312" w:eastAsia="仿宋_GB2312"/>
          <w:color w:val="auto"/>
          <w:sz w:val="32"/>
          <w:szCs w:val="32"/>
          <w:lang w:eastAsia="zh-CN"/>
        </w:rPr>
      </w:pPr>
      <w:r>
        <w:rPr>
          <w:rFonts w:hint="eastAsia" w:ascii="仿宋_GB2312" w:hAnsi="宋体" w:eastAsia="仿宋_GB2312" w:cs="宋体"/>
          <w:color w:val="auto"/>
          <w:sz w:val="32"/>
          <w:szCs w:val="32"/>
        </w:rPr>
        <w:t>山东钢铁股份有限公司</w:t>
      </w:r>
      <w:r>
        <w:rPr>
          <w:rFonts w:hint="eastAsia" w:ascii="仿宋_GB2312" w:hAnsi="宋体" w:eastAsia="仿宋_GB2312" w:cs="宋体"/>
          <w:color w:val="auto"/>
          <w:sz w:val="32"/>
          <w:szCs w:val="32"/>
          <w:lang w:val="en-US" w:eastAsia="zh-CN"/>
        </w:rPr>
        <w:t xml:space="preserve"> </w:t>
      </w:r>
    </w:p>
    <w:p w14:paraId="0B294BF1">
      <w:pPr>
        <w:tabs>
          <w:tab w:val="left" w:pos="993"/>
        </w:tabs>
        <w:spacing w:line="560" w:lineRule="exact"/>
        <w:ind w:firstLine="5760" w:firstLineChars="1800"/>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10</w:t>
      </w:r>
      <w:r>
        <w:rPr>
          <w:rFonts w:hint="eastAsia" w:ascii="仿宋_GB2312" w:hAnsi="宋体" w:eastAsia="仿宋_GB2312" w:cs="宋体"/>
          <w:color w:val="auto"/>
          <w:sz w:val="32"/>
          <w:szCs w:val="32"/>
        </w:rPr>
        <w:t>日</w:t>
      </w:r>
    </w:p>
    <w:p w14:paraId="57B6E6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附件1：报价清单</w:t>
      </w:r>
    </w:p>
    <w:p w14:paraId="40AE8DE6">
      <w:pPr>
        <w:keepNext w:val="0"/>
        <w:keepLines w:val="0"/>
        <w:pageBreakBefore w:val="0"/>
        <w:widowControl/>
        <w:kinsoku/>
        <w:wordWrap/>
        <w:overflowPunct/>
        <w:topLinePunct w:val="0"/>
        <w:autoSpaceDE/>
        <w:autoSpaceDN/>
        <w:bidi w:val="0"/>
        <w:adjustRightInd/>
        <w:snapToGrid/>
        <w:spacing w:after="0" w:line="40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p>
    <w:tbl>
      <w:tblPr>
        <w:tblStyle w:val="11"/>
        <w:tblpPr w:leftFromText="180" w:rightFromText="180" w:vertAnchor="text" w:horzAnchor="page" w:tblpX="1222" w:tblpY="289"/>
        <w:tblOverlap w:val="never"/>
        <w:tblW w:w="9438" w:type="dxa"/>
        <w:tblInd w:w="0" w:type="dxa"/>
        <w:tblLayout w:type="fixed"/>
        <w:tblCellMar>
          <w:top w:w="0" w:type="dxa"/>
          <w:left w:w="108" w:type="dxa"/>
          <w:bottom w:w="0" w:type="dxa"/>
          <w:right w:w="108" w:type="dxa"/>
        </w:tblCellMar>
      </w:tblPr>
      <w:tblGrid>
        <w:gridCol w:w="3820"/>
        <w:gridCol w:w="1965"/>
        <w:gridCol w:w="1455"/>
        <w:gridCol w:w="2198"/>
      </w:tblGrid>
      <w:tr w14:paraId="159BAA29">
        <w:tblPrEx>
          <w:tblCellMar>
            <w:top w:w="0" w:type="dxa"/>
            <w:left w:w="108" w:type="dxa"/>
            <w:bottom w:w="0" w:type="dxa"/>
            <w:right w:w="108" w:type="dxa"/>
          </w:tblCellMar>
        </w:tblPrEx>
        <w:trPr>
          <w:trHeight w:val="514" w:hRule="atLeast"/>
        </w:trPr>
        <w:tc>
          <w:tcPr>
            <w:tcW w:w="3820" w:type="dxa"/>
            <w:tcBorders>
              <w:top w:val="single" w:color="auto" w:sz="4" w:space="0"/>
              <w:left w:val="single" w:color="auto" w:sz="4" w:space="0"/>
              <w:bottom w:val="single" w:color="auto" w:sz="4" w:space="0"/>
              <w:right w:val="single" w:color="auto" w:sz="4" w:space="0"/>
            </w:tcBorders>
            <w:noWrap/>
            <w:vAlign w:val="center"/>
          </w:tcPr>
          <w:p w14:paraId="3BEA64BC">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投标类别</w:t>
            </w:r>
          </w:p>
        </w:tc>
        <w:tc>
          <w:tcPr>
            <w:tcW w:w="1965" w:type="dxa"/>
            <w:tcBorders>
              <w:top w:val="single" w:color="auto" w:sz="4" w:space="0"/>
              <w:left w:val="single" w:color="auto" w:sz="4" w:space="0"/>
              <w:bottom w:val="single" w:color="auto" w:sz="4" w:space="0"/>
              <w:right w:val="single" w:color="auto" w:sz="4" w:space="0"/>
            </w:tcBorders>
          </w:tcPr>
          <w:p w14:paraId="0AD6C159">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拦标价</w:t>
            </w:r>
          </w:p>
        </w:tc>
        <w:tc>
          <w:tcPr>
            <w:tcW w:w="1455" w:type="dxa"/>
            <w:tcBorders>
              <w:top w:val="single" w:color="auto" w:sz="4" w:space="0"/>
              <w:left w:val="single" w:color="auto" w:sz="4" w:space="0"/>
              <w:bottom w:val="single" w:color="auto" w:sz="4" w:space="0"/>
              <w:right w:val="single" w:color="auto" w:sz="4" w:space="0"/>
            </w:tcBorders>
          </w:tcPr>
          <w:p w14:paraId="05AF1AED">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w:t>
            </w:r>
          </w:p>
        </w:tc>
        <w:tc>
          <w:tcPr>
            <w:tcW w:w="2198" w:type="dxa"/>
            <w:tcBorders>
              <w:top w:val="single" w:color="auto" w:sz="4" w:space="0"/>
              <w:left w:val="single" w:color="auto" w:sz="4" w:space="0"/>
              <w:bottom w:val="single" w:color="auto" w:sz="4" w:space="0"/>
              <w:right w:val="single" w:color="auto" w:sz="4" w:space="0"/>
            </w:tcBorders>
          </w:tcPr>
          <w:p w14:paraId="0ACA4491">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备注</w:t>
            </w:r>
          </w:p>
        </w:tc>
      </w:tr>
      <w:tr w14:paraId="683CD0B3">
        <w:tblPrEx>
          <w:tblCellMar>
            <w:top w:w="0" w:type="dxa"/>
            <w:left w:w="108" w:type="dxa"/>
            <w:bottom w:w="0" w:type="dxa"/>
            <w:right w:w="108" w:type="dxa"/>
          </w:tblCellMar>
        </w:tblPrEx>
        <w:trPr>
          <w:trHeight w:val="514" w:hRule="atLeast"/>
        </w:trPr>
        <w:tc>
          <w:tcPr>
            <w:tcW w:w="3820" w:type="dxa"/>
            <w:tcBorders>
              <w:top w:val="nil"/>
              <w:left w:val="single" w:color="auto" w:sz="4" w:space="0"/>
              <w:bottom w:val="single" w:color="auto" w:sz="4" w:space="0"/>
              <w:right w:val="single" w:color="auto" w:sz="4" w:space="0"/>
            </w:tcBorders>
            <w:noWrap/>
            <w:vAlign w:val="center"/>
          </w:tcPr>
          <w:p w14:paraId="0B652B83">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轮式吊车≥8t＜50t吊车</w:t>
            </w:r>
          </w:p>
        </w:tc>
        <w:tc>
          <w:tcPr>
            <w:tcW w:w="1965" w:type="dxa"/>
            <w:tcBorders>
              <w:top w:val="nil"/>
              <w:left w:val="single" w:color="auto" w:sz="4" w:space="0"/>
              <w:bottom w:val="single" w:color="auto" w:sz="4" w:space="0"/>
              <w:right w:val="single" w:color="auto" w:sz="4" w:space="0"/>
            </w:tcBorders>
            <w:vAlign w:val="bottom"/>
          </w:tcPr>
          <w:p w14:paraId="6CE10F12">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2.56</w:t>
            </w:r>
          </w:p>
        </w:tc>
        <w:tc>
          <w:tcPr>
            <w:tcW w:w="1455" w:type="dxa"/>
            <w:tcBorders>
              <w:top w:val="nil"/>
              <w:left w:val="single" w:color="auto" w:sz="4" w:space="0"/>
              <w:bottom w:val="single" w:color="auto" w:sz="4" w:space="0"/>
              <w:right w:val="single" w:color="auto" w:sz="4" w:space="0"/>
            </w:tcBorders>
            <w:vAlign w:val="bottom"/>
          </w:tcPr>
          <w:p w14:paraId="5303865C">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07B44925">
            <w:pPr>
              <w:jc w:val="right"/>
              <w:rPr>
                <w:rFonts w:hint="eastAsia" w:ascii="仿宋_GB2312" w:hAnsi="仿宋_GB2312" w:eastAsia="仿宋_GB2312" w:cs="仿宋_GB2312"/>
                <w:color w:val="auto"/>
                <w:sz w:val="28"/>
                <w:szCs w:val="28"/>
              </w:rPr>
            </w:pPr>
          </w:p>
        </w:tc>
      </w:tr>
      <w:tr w14:paraId="399985A7">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4AEE710D">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轮式吊车≥50t＜100t吊车</w:t>
            </w:r>
          </w:p>
        </w:tc>
        <w:tc>
          <w:tcPr>
            <w:tcW w:w="1965" w:type="dxa"/>
            <w:tcBorders>
              <w:top w:val="nil"/>
              <w:left w:val="single" w:color="auto" w:sz="4" w:space="0"/>
              <w:bottom w:val="single" w:color="auto" w:sz="4" w:space="0"/>
              <w:right w:val="single" w:color="auto" w:sz="4" w:space="0"/>
            </w:tcBorders>
            <w:vAlign w:val="bottom"/>
          </w:tcPr>
          <w:p w14:paraId="7232C9B8">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748A59E9">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36019798">
            <w:pPr>
              <w:jc w:val="right"/>
              <w:rPr>
                <w:rFonts w:hint="eastAsia" w:ascii="仿宋_GB2312" w:hAnsi="仿宋_GB2312" w:eastAsia="仿宋_GB2312" w:cs="仿宋_GB2312"/>
                <w:color w:val="auto"/>
                <w:sz w:val="28"/>
                <w:szCs w:val="28"/>
              </w:rPr>
            </w:pPr>
          </w:p>
        </w:tc>
      </w:tr>
      <w:tr w14:paraId="48B40C9E">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5FD7EDBF">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100t＜200t吊车</w:t>
            </w:r>
          </w:p>
        </w:tc>
        <w:tc>
          <w:tcPr>
            <w:tcW w:w="1965" w:type="dxa"/>
            <w:tcBorders>
              <w:top w:val="nil"/>
              <w:left w:val="single" w:color="auto" w:sz="4" w:space="0"/>
              <w:bottom w:val="single" w:color="auto" w:sz="4" w:space="0"/>
              <w:right w:val="single" w:color="auto" w:sz="4" w:space="0"/>
            </w:tcBorders>
            <w:vAlign w:val="bottom"/>
          </w:tcPr>
          <w:p w14:paraId="208178F5">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6C19196B">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24A6EED4">
            <w:pPr>
              <w:jc w:val="right"/>
              <w:rPr>
                <w:rFonts w:hint="eastAsia" w:ascii="仿宋_GB2312" w:hAnsi="仿宋_GB2312" w:eastAsia="仿宋_GB2312" w:cs="仿宋_GB2312"/>
                <w:color w:val="auto"/>
                <w:sz w:val="28"/>
                <w:szCs w:val="28"/>
              </w:rPr>
            </w:pPr>
          </w:p>
        </w:tc>
      </w:tr>
      <w:tr w14:paraId="30899ECD">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7D4A6373">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200t</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300t吊车</w:t>
            </w:r>
          </w:p>
        </w:tc>
        <w:tc>
          <w:tcPr>
            <w:tcW w:w="1965" w:type="dxa"/>
            <w:tcBorders>
              <w:top w:val="nil"/>
              <w:left w:val="single" w:color="auto" w:sz="4" w:space="0"/>
              <w:bottom w:val="single" w:color="auto" w:sz="4" w:space="0"/>
              <w:right w:val="single" w:color="auto" w:sz="4" w:space="0"/>
            </w:tcBorders>
            <w:vAlign w:val="bottom"/>
          </w:tcPr>
          <w:p w14:paraId="431DECA6">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16DA1B3C">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680BE8A3">
            <w:pPr>
              <w:jc w:val="right"/>
              <w:rPr>
                <w:rFonts w:hint="eastAsia" w:ascii="仿宋_GB2312" w:hAnsi="仿宋_GB2312" w:eastAsia="仿宋_GB2312" w:cs="仿宋_GB2312"/>
                <w:color w:val="auto"/>
                <w:sz w:val="28"/>
                <w:szCs w:val="28"/>
              </w:rPr>
            </w:pPr>
          </w:p>
        </w:tc>
      </w:tr>
      <w:tr w14:paraId="5FB736CB">
        <w:tblPrEx>
          <w:tblCellMar>
            <w:top w:w="0" w:type="dxa"/>
            <w:left w:w="108" w:type="dxa"/>
            <w:bottom w:w="0" w:type="dxa"/>
            <w:right w:w="108" w:type="dxa"/>
          </w:tblCellMar>
        </w:tblPrEx>
        <w:trPr>
          <w:trHeight w:val="522" w:hRule="atLeast"/>
        </w:trPr>
        <w:tc>
          <w:tcPr>
            <w:tcW w:w="9438" w:type="dxa"/>
            <w:gridSpan w:val="4"/>
            <w:tcBorders>
              <w:top w:val="nil"/>
              <w:left w:val="single" w:color="auto" w:sz="4" w:space="0"/>
              <w:bottom w:val="single" w:color="auto" w:sz="4" w:space="0"/>
              <w:right w:val="single" w:color="auto" w:sz="4" w:space="0"/>
            </w:tcBorders>
            <w:noWrap/>
            <w:vAlign w:val="center"/>
          </w:tcPr>
          <w:p w14:paraId="5751853E">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单位：元/吨.小时，报价为不含税价格</w:t>
            </w:r>
          </w:p>
        </w:tc>
      </w:tr>
    </w:tbl>
    <w:p w14:paraId="32555D25">
      <w:pPr>
        <w:spacing w:line="580" w:lineRule="exact"/>
        <w:ind w:firstLine="0" w:firstLineChars="0"/>
        <w:rPr>
          <w:rFonts w:hint="eastAsia" w:ascii="仿宋_GB2312" w:hAnsi="仿宋_GB2312" w:eastAsia="仿宋_GB2312" w:cs="仿宋_GB2312"/>
          <w:color w:val="auto"/>
          <w:sz w:val="28"/>
          <w:szCs w:val="28"/>
          <w:lang w:val="en-US" w:eastAsia="zh-CN"/>
        </w:rPr>
      </w:pPr>
    </w:p>
    <w:p w14:paraId="4130C3B6">
      <w:pPr>
        <w:spacing w:line="580" w:lineRule="exact"/>
        <w:ind w:firstLine="0" w:firstLineChars="0"/>
        <w:rPr>
          <w:rFonts w:hint="eastAsia" w:ascii="仿宋_GB2312" w:hAnsi="仿宋_GB2312" w:eastAsia="仿宋_GB2312" w:cs="仿宋_GB2312"/>
          <w:color w:val="auto"/>
          <w:sz w:val="28"/>
          <w:szCs w:val="28"/>
          <w:lang w:val="en-US" w:eastAsia="zh-CN"/>
        </w:rPr>
      </w:pPr>
    </w:p>
    <w:p w14:paraId="1FC5D31F">
      <w:pPr>
        <w:spacing w:line="580" w:lineRule="exact"/>
        <w:ind w:firstLine="0" w:firstLineChars="0"/>
        <w:rPr>
          <w:rFonts w:hint="eastAsia" w:ascii="仿宋_GB2312" w:hAnsi="仿宋_GB2312" w:eastAsia="仿宋_GB2312" w:cs="仿宋_GB2312"/>
          <w:color w:val="auto"/>
          <w:sz w:val="28"/>
          <w:szCs w:val="28"/>
          <w:lang w:val="en-US" w:eastAsia="zh-CN"/>
        </w:rPr>
      </w:pPr>
    </w:p>
    <w:p w14:paraId="32AF0BEB">
      <w:pPr>
        <w:spacing w:line="580" w:lineRule="exact"/>
        <w:ind w:firstLine="0" w:firstLineChars="0"/>
        <w:rPr>
          <w:rFonts w:hint="eastAsia" w:ascii="仿宋_GB2312" w:hAnsi="仿宋_GB2312" w:eastAsia="仿宋_GB2312" w:cs="仿宋_GB2312"/>
          <w:color w:val="auto"/>
          <w:sz w:val="28"/>
          <w:szCs w:val="28"/>
          <w:lang w:val="en-US" w:eastAsia="zh-CN"/>
        </w:rPr>
      </w:pPr>
    </w:p>
    <w:p w14:paraId="6AED6E5B">
      <w:pPr>
        <w:spacing w:line="580" w:lineRule="exact"/>
        <w:ind w:firstLine="0" w:firstLineChars="0"/>
        <w:rPr>
          <w:rFonts w:hint="eastAsia" w:ascii="仿宋_GB2312" w:hAnsi="仿宋_GB2312" w:eastAsia="仿宋_GB2312" w:cs="仿宋_GB2312"/>
          <w:color w:val="auto"/>
          <w:sz w:val="28"/>
          <w:szCs w:val="28"/>
          <w:lang w:val="en-US" w:eastAsia="zh-CN"/>
        </w:rPr>
      </w:pPr>
    </w:p>
    <w:p w14:paraId="3B85DE47">
      <w:pPr>
        <w:spacing w:line="580" w:lineRule="exact"/>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附件2：评分规则</w:t>
      </w:r>
    </w:p>
    <w:p w14:paraId="2D6D46CD">
      <w:pPr>
        <w:spacing w:line="580" w:lineRule="exact"/>
        <w:ind w:firstLine="0" w:firstLineChars="0"/>
        <w:rPr>
          <w:rFonts w:hint="default" w:ascii="仿宋_GB2312" w:hAnsi="仿宋_GB2312" w:eastAsia="仿宋_GB2312" w:cs="仿宋_GB2312"/>
          <w:color w:val="auto"/>
          <w:sz w:val="28"/>
          <w:szCs w:val="28"/>
          <w:lang w:val="en-US" w:eastAsia="zh-CN"/>
        </w:rPr>
      </w:pPr>
    </w:p>
    <w:tbl>
      <w:tblPr>
        <w:tblStyle w:val="11"/>
        <w:tblW w:w="9099" w:type="dxa"/>
        <w:jc w:val="center"/>
        <w:tblLayout w:type="autofit"/>
        <w:tblCellMar>
          <w:top w:w="0" w:type="dxa"/>
          <w:left w:w="108" w:type="dxa"/>
          <w:bottom w:w="0" w:type="dxa"/>
          <w:right w:w="108" w:type="dxa"/>
        </w:tblCellMar>
      </w:tblPr>
      <w:tblGrid>
        <w:gridCol w:w="1587"/>
        <w:gridCol w:w="7512"/>
      </w:tblGrid>
      <w:tr w14:paraId="74FE3304">
        <w:tblPrEx>
          <w:tblCellMar>
            <w:top w:w="0" w:type="dxa"/>
            <w:left w:w="108" w:type="dxa"/>
            <w:bottom w:w="0" w:type="dxa"/>
            <w:right w:w="108" w:type="dxa"/>
          </w:tblCellMar>
        </w:tblPrEx>
        <w:trPr>
          <w:trHeight w:val="571" w:hRule="atLeast"/>
          <w:jc w:val="center"/>
        </w:trPr>
        <w:tc>
          <w:tcPr>
            <w:tcW w:w="1587" w:type="dxa"/>
            <w:tcBorders>
              <w:top w:val="single" w:color="auto" w:sz="4" w:space="0"/>
              <w:left w:val="single" w:color="auto" w:sz="4" w:space="0"/>
              <w:bottom w:val="single" w:color="auto" w:sz="8" w:space="0"/>
              <w:right w:val="single" w:color="auto" w:sz="4" w:space="0"/>
            </w:tcBorders>
            <w:noWrap/>
            <w:vAlign w:val="center"/>
          </w:tcPr>
          <w:p w14:paraId="03ABB0E7">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分类</w:t>
            </w:r>
          </w:p>
        </w:tc>
        <w:tc>
          <w:tcPr>
            <w:tcW w:w="7512" w:type="dxa"/>
            <w:tcBorders>
              <w:top w:val="single" w:color="auto" w:sz="4" w:space="0"/>
              <w:left w:val="nil"/>
              <w:bottom w:val="single" w:color="auto" w:sz="8" w:space="0"/>
              <w:right w:val="single" w:color="auto" w:sz="4" w:space="0"/>
            </w:tcBorders>
            <w:vAlign w:val="center"/>
          </w:tcPr>
          <w:p w14:paraId="299A9687">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评分规则</w:t>
            </w:r>
          </w:p>
        </w:tc>
      </w:tr>
      <w:tr w14:paraId="262A2E99">
        <w:tblPrEx>
          <w:tblCellMar>
            <w:top w:w="0" w:type="dxa"/>
            <w:left w:w="108" w:type="dxa"/>
            <w:bottom w:w="0" w:type="dxa"/>
            <w:right w:w="108" w:type="dxa"/>
          </w:tblCellMar>
        </w:tblPrEx>
        <w:trPr>
          <w:trHeight w:val="979" w:hRule="atLeast"/>
          <w:jc w:val="center"/>
        </w:trPr>
        <w:tc>
          <w:tcPr>
            <w:tcW w:w="1587" w:type="dxa"/>
            <w:tcBorders>
              <w:top w:val="nil"/>
              <w:left w:val="single" w:color="auto" w:sz="4" w:space="0"/>
              <w:bottom w:val="single" w:color="auto" w:sz="8" w:space="0"/>
              <w:right w:val="single" w:color="auto" w:sz="4" w:space="0"/>
            </w:tcBorders>
            <w:noWrap/>
            <w:vAlign w:val="center"/>
          </w:tcPr>
          <w:p w14:paraId="12496093">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价格（</w:t>
            </w:r>
            <w:r>
              <w:rPr>
                <w:rFonts w:hint="eastAsia" w:ascii="仿宋_GB2312" w:hAnsi="微软雅黑" w:eastAsia="仿宋_GB2312" w:cs="宋体"/>
                <w:color w:val="auto"/>
                <w:kern w:val="0"/>
                <w:sz w:val="22"/>
                <w:szCs w:val="22"/>
                <w:lang w:val="en-US" w:eastAsia="zh-CN"/>
              </w:rPr>
              <w:t>7</w:t>
            </w:r>
            <w:r>
              <w:rPr>
                <w:rFonts w:hint="eastAsia" w:ascii="仿宋_GB2312" w:hAnsi="微软雅黑" w:eastAsia="仿宋_GB2312" w:cs="宋体"/>
                <w:color w:val="auto"/>
                <w:kern w:val="0"/>
                <w:sz w:val="22"/>
                <w:szCs w:val="22"/>
              </w:rPr>
              <w:t>0）</w:t>
            </w:r>
          </w:p>
        </w:tc>
        <w:tc>
          <w:tcPr>
            <w:tcW w:w="7512" w:type="dxa"/>
            <w:tcBorders>
              <w:top w:val="nil"/>
              <w:left w:val="nil"/>
              <w:bottom w:val="single" w:color="auto" w:sz="8" w:space="0"/>
              <w:right w:val="single" w:color="auto" w:sz="4" w:space="0"/>
            </w:tcBorders>
            <w:vAlign w:val="center"/>
          </w:tcPr>
          <w:p w14:paraId="5AC4ACFA">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1、高于平均报价30%为无效投标，低于平均报价3</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的，经评标委员会讨论研究，确认价格是否合理，若不合理视为无效投标。</w:t>
            </w:r>
            <w:r>
              <w:rPr>
                <w:rFonts w:hint="eastAsia" w:ascii="仿宋_GB2312" w:hAnsi="微软雅黑" w:eastAsia="仿宋_GB2312" w:cs="宋体"/>
                <w:color w:val="auto"/>
                <w:kern w:val="0"/>
                <w:sz w:val="22"/>
                <w:szCs w:val="22"/>
              </w:rPr>
              <w:br w:type="textWrapping"/>
            </w:r>
            <w:r>
              <w:rPr>
                <w:rFonts w:hint="eastAsia" w:ascii="仿宋_GB2312" w:hAnsi="微软雅黑" w:eastAsia="仿宋_GB2312" w:cs="宋体"/>
                <w:color w:val="auto"/>
                <w:kern w:val="0"/>
                <w:sz w:val="22"/>
                <w:szCs w:val="22"/>
              </w:rPr>
              <w:t>2、有效最低报价为</w:t>
            </w:r>
            <w:r>
              <w:rPr>
                <w:rFonts w:hint="eastAsia" w:ascii="仿宋_GB2312" w:hAnsi="微软雅黑" w:eastAsia="仿宋_GB2312" w:cs="宋体"/>
                <w:color w:val="auto"/>
                <w:kern w:val="0"/>
                <w:sz w:val="22"/>
                <w:szCs w:val="22"/>
                <w:lang w:val="en-US" w:eastAsia="zh-CN"/>
              </w:rPr>
              <w:t>7</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分，其他以有效最低报价为基准，每高于基准价3%减1分。</w:t>
            </w:r>
          </w:p>
        </w:tc>
      </w:tr>
      <w:tr w14:paraId="27CFEDC6">
        <w:tblPrEx>
          <w:tblCellMar>
            <w:top w:w="0" w:type="dxa"/>
            <w:left w:w="108" w:type="dxa"/>
            <w:bottom w:w="0" w:type="dxa"/>
            <w:right w:w="108" w:type="dxa"/>
          </w:tblCellMar>
        </w:tblPrEx>
        <w:trPr>
          <w:trHeight w:val="979" w:hRule="atLeast"/>
          <w:jc w:val="center"/>
        </w:trPr>
        <w:tc>
          <w:tcPr>
            <w:tcW w:w="1587" w:type="dxa"/>
            <w:vMerge w:val="restart"/>
            <w:tcBorders>
              <w:top w:val="nil"/>
              <w:left w:val="single" w:color="auto" w:sz="4" w:space="0"/>
              <w:right w:val="single" w:color="auto" w:sz="4" w:space="0"/>
            </w:tcBorders>
            <w:noWrap/>
            <w:vAlign w:val="center"/>
          </w:tcPr>
          <w:p w14:paraId="25C23790">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实力业绩（</w:t>
            </w:r>
            <w:r>
              <w:rPr>
                <w:rFonts w:hint="eastAsia" w:ascii="仿宋_GB2312" w:hAnsi="微软雅黑" w:eastAsia="仿宋_GB2312" w:cs="宋体"/>
                <w:color w:val="auto"/>
                <w:kern w:val="0"/>
                <w:sz w:val="22"/>
                <w:szCs w:val="22"/>
                <w:lang w:val="en-US" w:eastAsia="zh-CN"/>
              </w:rPr>
              <w:t>10</w:t>
            </w:r>
            <w:r>
              <w:rPr>
                <w:rFonts w:hint="eastAsia" w:ascii="仿宋_GB2312" w:hAnsi="微软雅黑" w:eastAsia="仿宋_GB2312" w:cs="宋体"/>
                <w:color w:val="auto"/>
                <w:kern w:val="0"/>
                <w:sz w:val="22"/>
                <w:szCs w:val="22"/>
              </w:rPr>
              <w:t>）</w:t>
            </w:r>
          </w:p>
        </w:tc>
        <w:tc>
          <w:tcPr>
            <w:tcW w:w="7512" w:type="dxa"/>
            <w:tcBorders>
              <w:top w:val="nil"/>
              <w:left w:val="nil"/>
              <w:bottom w:val="single" w:color="auto" w:sz="4" w:space="0"/>
              <w:right w:val="single" w:color="auto" w:sz="4" w:space="0"/>
            </w:tcBorders>
            <w:vAlign w:val="center"/>
          </w:tcPr>
          <w:p w14:paraId="39F95879">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投标单位</w:t>
            </w:r>
            <w:r>
              <w:rPr>
                <w:rFonts w:hint="eastAsia" w:ascii="仿宋_GB2312" w:hAnsi="微软雅黑" w:eastAsia="仿宋_GB2312" w:cs="宋体"/>
                <w:color w:val="auto"/>
                <w:kern w:val="0"/>
                <w:sz w:val="22"/>
                <w:szCs w:val="22"/>
                <w:lang w:val="en-US" w:eastAsia="zh-CN"/>
              </w:rPr>
              <w:t>提供与</w:t>
            </w:r>
            <w:r>
              <w:rPr>
                <w:rFonts w:hint="eastAsia" w:ascii="仿宋_GB2312" w:hAnsi="微软雅黑" w:eastAsia="仿宋_GB2312" w:cs="宋体"/>
                <w:color w:val="auto"/>
                <w:kern w:val="0"/>
                <w:sz w:val="22"/>
                <w:szCs w:val="22"/>
              </w:rPr>
              <w:t>本招标业务相似近三年的承包合同，提供合同份数</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份以上的（含</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份）得</w:t>
            </w:r>
            <w:r>
              <w:rPr>
                <w:rFonts w:ascii="仿宋_GB2312" w:hAnsi="微软雅黑" w:eastAsia="仿宋_GB2312" w:cs="宋体"/>
                <w:color w:val="auto"/>
                <w:kern w:val="0"/>
                <w:sz w:val="22"/>
                <w:szCs w:val="22"/>
              </w:rPr>
              <w:t>5</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3份以上（含3份）5份以下</w:t>
            </w:r>
            <w:r>
              <w:rPr>
                <w:rFonts w:hint="eastAsia" w:ascii="仿宋_GB2312" w:hAnsi="微软雅黑" w:eastAsia="仿宋_GB2312" w:cs="宋体"/>
                <w:color w:val="auto"/>
                <w:kern w:val="0"/>
                <w:sz w:val="22"/>
                <w:szCs w:val="22"/>
              </w:rPr>
              <w:t>的得</w:t>
            </w:r>
            <w:r>
              <w:rPr>
                <w:rFonts w:ascii="仿宋_GB2312" w:hAnsi="微软雅黑" w:eastAsia="仿宋_GB2312" w:cs="宋体"/>
                <w:color w:val="auto"/>
                <w:kern w:val="0"/>
                <w:sz w:val="22"/>
                <w:szCs w:val="22"/>
              </w:rPr>
              <w:t>3</w:t>
            </w:r>
            <w:r>
              <w:rPr>
                <w:rFonts w:hint="eastAsia" w:ascii="仿宋_GB2312" w:hAnsi="微软雅黑" w:eastAsia="仿宋_GB2312" w:cs="宋体"/>
                <w:color w:val="auto"/>
                <w:kern w:val="0"/>
                <w:sz w:val="22"/>
                <w:szCs w:val="22"/>
              </w:rPr>
              <w:t>分，1份</w:t>
            </w:r>
            <w:r>
              <w:rPr>
                <w:rFonts w:hint="eastAsia" w:ascii="仿宋_GB2312" w:hAnsi="微软雅黑" w:eastAsia="仿宋_GB2312" w:cs="宋体"/>
                <w:color w:val="auto"/>
                <w:kern w:val="0"/>
                <w:sz w:val="22"/>
                <w:szCs w:val="22"/>
                <w:lang w:val="en-US" w:eastAsia="zh-CN"/>
              </w:rPr>
              <w:t>以上（含1份）3份以下</w:t>
            </w:r>
            <w:r>
              <w:rPr>
                <w:rFonts w:hint="eastAsia" w:ascii="仿宋_GB2312" w:hAnsi="微软雅黑" w:eastAsia="仿宋_GB2312" w:cs="宋体"/>
                <w:color w:val="auto"/>
                <w:kern w:val="0"/>
                <w:sz w:val="22"/>
                <w:szCs w:val="22"/>
              </w:rPr>
              <w:t>的得1分</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未提供的不得分</w:t>
            </w:r>
            <w:r>
              <w:rPr>
                <w:rFonts w:hint="eastAsia" w:ascii="仿宋_GB2312" w:hAnsi="微软雅黑" w:eastAsia="仿宋_GB2312" w:cs="宋体"/>
                <w:color w:val="auto"/>
                <w:kern w:val="0"/>
                <w:sz w:val="22"/>
                <w:szCs w:val="22"/>
              </w:rPr>
              <w:t>。</w:t>
            </w:r>
          </w:p>
        </w:tc>
      </w:tr>
      <w:tr w14:paraId="713DBBA4">
        <w:tblPrEx>
          <w:tblCellMar>
            <w:top w:w="0" w:type="dxa"/>
            <w:left w:w="108" w:type="dxa"/>
            <w:bottom w:w="0" w:type="dxa"/>
            <w:right w:w="108" w:type="dxa"/>
          </w:tblCellMar>
        </w:tblPrEx>
        <w:trPr>
          <w:trHeight w:val="650" w:hRule="atLeast"/>
          <w:jc w:val="center"/>
        </w:trPr>
        <w:tc>
          <w:tcPr>
            <w:tcW w:w="1587" w:type="dxa"/>
            <w:vMerge w:val="continue"/>
            <w:tcBorders>
              <w:left w:val="single" w:color="auto" w:sz="4" w:space="0"/>
              <w:right w:val="single" w:color="auto" w:sz="4" w:space="0"/>
            </w:tcBorders>
            <w:vAlign w:val="center"/>
          </w:tcPr>
          <w:p w14:paraId="014B5A2D">
            <w:pPr>
              <w:widowControl/>
              <w:jc w:val="left"/>
              <w:rPr>
                <w:rFonts w:ascii="仿宋_GB2312" w:hAnsi="微软雅黑" w:eastAsia="仿宋_GB2312" w:cs="宋体"/>
                <w:color w:val="auto"/>
                <w:kern w:val="0"/>
                <w:sz w:val="22"/>
                <w:szCs w:val="22"/>
              </w:rPr>
            </w:pPr>
          </w:p>
        </w:tc>
        <w:tc>
          <w:tcPr>
            <w:tcW w:w="7512" w:type="dxa"/>
            <w:tcBorders>
              <w:top w:val="single" w:color="auto" w:sz="4" w:space="0"/>
              <w:left w:val="nil"/>
              <w:bottom w:val="single" w:color="auto" w:sz="8" w:space="0"/>
              <w:right w:val="single" w:color="auto" w:sz="4" w:space="0"/>
            </w:tcBorders>
            <w:vAlign w:val="center"/>
          </w:tcPr>
          <w:p w14:paraId="01CD3859">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lang w:val="en-US" w:eastAsia="zh-CN"/>
              </w:rPr>
              <w:t>近3年（2023年以来）取得</w:t>
            </w:r>
            <w:r>
              <w:rPr>
                <w:rFonts w:hint="eastAsia" w:ascii="仿宋_GB2312" w:hAnsi="微软雅黑" w:eastAsia="仿宋_GB2312" w:cs="宋体"/>
                <w:color w:val="auto"/>
                <w:kern w:val="0"/>
                <w:sz w:val="22"/>
                <w:szCs w:val="22"/>
              </w:rPr>
              <w:t>省、市级及以上表彰的得</w:t>
            </w:r>
            <w:r>
              <w:rPr>
                <w:rFonts w:hint="eastAsia" w:ascii="仿宋_GB2312" w:hAnsi="微软雅黑" w:eastAsia="仿宋_GB2312" w:cs="宋体"/>
                <w:color w:val="auto"/>
                <w:kern w:val="0"/>
                <w:sz w:val="22"/>
                <w:szCs w:val="22"/>
                <w:lang w:val="en-US" w:eastAsia="zh-CN"/>
              </w:rPr>
              <w:t>3</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提供</w:t>
            </w:r>
            <w:r>
              <w:rPr>
                <w:rFonts w:hint="eastAsia" w:ascii="仿宋_GB2312" w:hAnsi="微软雅黑" w:eastAsia="仿宋_GB2312" w:cs="宋体"/>
                <w:color w:val="auto"/>
                <w:kern w:val="0"/>
                <w:sz w:val="22"/>
                <w:szCs w:val="22"/>
              </w:rPr>
              <w:t>其他</w:t>
            </w:r>
            <w:r>
              <w:rPr>
                <w:rFonts w:hint="eastAsia" w:ascii="仿宋_GB2312" w:hAnsi="微软雅黑" w:eastAsia="仿宋_GB2312" w:cs="宋体"/>
                <w:color w:val="auto"/>
                <w:kern w:val="0"/>
                <w:sz w:val="22"/>
                <w:szCs w:val="22"/>
                <w:lang w:val="en-US" w:eastAsia="zh-CN"/>
              </w:rPr>
              <w:t>级别荣誉</w:t>
            </w:r>
            <w:r>
              <w:rPr>
                <w:rFonts w:hint="eastAsia" w:ascii="仿宋_GB2312" w:hAnsi="微软雅黑" w:eastAsia="仿宋_GB2312" w:cs="宋体"/>
                <w:color w:val="auto"/>
                <w:kern w:val="0"/>
                <w:sz w:val="22"/>
                <w:szCs w:val="22"/>
              </w:rPr>
              <w:t>的得</w:t>
            </w:r>
            <w:r>
              <w:rPr>
                <w:rFonts w:hint="eastAsia" w:ascii="仿宋_GB2312" w:hAnsi="微软雅黑" w:eastAsia="仿宋_GB2312" w:cs="宋体"/>
                <w:color w:val="auto"/>
                <w:kern w:val="0"/>
                <w:sz w:val="22"/>
                <w:szCs w:val="22"/>
                <w:lang w:val="en-US" w:eastAsia="zh-CN"/>
              </w:rPr>
              <w:t>1</w:t>
            </w:r>
            <w:r>
              <w:rPr>
                <w:rFonts w:hint="eastAsia" w:ascii="仿宋_GB2312" w:hAnsi="微软雅黑" w:eastAsia="仿宋_GB2312" w:cs="宋体"/>
                <w:color w:val="auto"/>
                <w:kern w:val="0"/>
                <w:sz w:val="22"/>
                <w:szCs w:val="22"/>
              </w:rPr>
              <w:t>分，未提供不得分。</w:t>
            </w:r>
          </w:p>
        </w:tc>
      </w:tr>
      <w:tr w14:paraId="3313E3CC">
        <w:tblPrEx>
          <w:tblCellMar>
            <w:top w:w="0" w:type="dxa"/>
            <w:left w:w="108" w:type="dxa"/>
            <w:bottom w:w="0" w:type="dxa"/>
            <w:right w:w="108" w:type="dxa"/>
          </w:tblCellMar>
        </w:tblPrEx>
        <w:trPr>
          <w:trHeight w:val="504" w:hRule="atLeast"/>
          <w:jc w:val="center"/>
        </w:trPr>
        <w:tc>
          <w:tcPr>
            <w:tcW w:w="1587" w:type="dxa"/>
            <w:vMerge w:val="continue"/>
            <w:tcBorders>
              <w:left w:val="single" w:color="auto" w:sz="4" w:space="0"/>
              <w:bottom w:val="single" w:color="000000" w:sz="8" w:space="0"/>
              <w:right w:val="single" w:color="auto" w:sz="4" w:space="0"/>
            </w:tcBorders>
            <w:vAlign w:val="center"/>
          </w:tcPr>
          <w:p w14:paraId="30212CB5">
            <w:pPr>
              <w:widowControl/>
              <w:jc w:val="left"/>
              <w:rPr>
                <w:rFonts w:ascii="仿宋_GB2312" w:hAnsi="微软雅黑" w:eastAsia="仿宋_GB2312" w:cs="宋体"/>
                <w:color w:val="auto"/>
                <w:kern w:val="0"/>
                <w:sz w:val="22"/>
                <w:szCs w:val="22"/>
              </w:rPr>
            </w:pPr>
          </w:p>
        </w:tc>
        <w:tc>
          <w:tcPr>
            <w:tcW w:w="7512" w:type="dxa"/>
            <w:tcBorders>
              <w:top w:val="single" w:color="auto" w:sz="4" w:space="0"/>
              <w:left w:val="nil"/>
              <w:bottom w:val="single" w:color="auto" w:sz="8" w:space="0"/>
              <w:right w:val="single" w:color="auto" w:sz="4" w:space="0"/>
            </w:tcBorders>
            <w:vAlign w:val="center"/>
          </w:tcPr>
          <w:p w14:paraId="58CE65F2">
            <w:pPr>
              <w:widowControl/>
              <w:spacing w:line="360" w:lineRule="exact"/>
              <w:jc w:val="left"/>
              <w:rPr>
                <w:rFonts w:hint="eastAsia" w:ascii="仿宋_GB2312" w:hAnsi="微软雅黑" w:eastAsia="仿宋_GB2312" w:cs="宋体"/>
                <w:color w:val="auto"/>
                <w:kern w:val="0"/>
                <w:sz w:val="22"/>
                <w:szCs w:val="22"/>
                <w:lang w:val="en-US" w:eastAsia="zh-CN"/>
              </w:rPr>
            </w:pPr>
            <w:r>
              <w:rPr>
                <w:rFonts w:hint="eastAsia" w:ascii="仿宋_GB2312" w:hAnsi="微软雅黑" w:eastAsia="仿宋_GB2312" w:cs="宋体"/>
                <w:color w:val="auto"/>
                <w:kern w:val="0"/>
                <w:sz w:val="22"/>
                <w:szCs w:val="22"/>
                <w:lang w:val="en-US" w:eastAsia="zh-CN"/>
              </w:rPr>
              <w:t>自有吊车数量大于等于10台的得2分，小于10台的得1分。</w:t>
            </w:r>
          </w:p>
        </w:tc>
      </w:tr>
      <w:tr w14:paraId="65560F3D">
        <w:tblPrEx>
          <w:tblCellMar>
            <w:top w:w="0" w:type="dxa"/>
            <w:left w:w="108" w:type="dxa"/>
            <w:bottom w:w="0" w:type="dxa"/>
            <w:right w:w="108" w:type="dxa"/>
          </w:tblCellMar>
        </w:tblPrEx>
        <w:trPr>
          <w:trHeight w:val="979" w:hRule="atLeast"/>
          <w:jc w:val="center"/>
        </w:trPr>
        <w:tc>
          <w:tcPr>
            <w:tcW w:w="1587" w:type="dxa"/>
            <w:vMerge w:val="restart"/>
            <w:tcBorders>
              <w:top w:val="nil"/>
              <w:left w:val="single" w:color="auto" w:sz="4" w:space="0"/>
              <w:bottom w:val="single" w:color="000000" w:sz="8" w:space="0"/>
              <w:right w:val="single" w:color="auto" w:sz="4" w:space="0"/>
            </w:tcBorders>
            <w:noWrap/>
            <w:vAlign w:val="center"/>
          </w:tcPr>
          <w:p w14:paraId="74611E72">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服务保障（</w:t>
            </w:r>
            <w:r>
              <w:rPr>
                <w:rFonts w:ascii="仿宋_GB2312" w:hAnsi="微软雅黑" w:eastAsia="仿宋_GB2312" w:cs="宋体"/>
                <w:color w:val="auto"/>
                <w:kern w:val="0"/>
                <w:sz w:val="22"/>
                <w:szCs w:val="22"/>
              </w:rPr>
              <w:t>20</w:t>
            </w:r>
            <w:r>
              <w:rPr>
                <w:rFonts w:hint="eastAsia" w:ascii="仿宋_GB2312" w:hAnsi="微软雅黑" w:eastAsia="仿宋_GB2312" w:cs="宋体"/>
                <w:color w:val="auto"/>
                <w:kern w:val="0"/>
                <w:sz w:val="22"/>
                <w:szCs w:val="22"/>
              </w:rPr>
              <w:t>）</w:t>
            </w:r>
          </w:p>
        </w:tc>
        <w:tc>
          <w:tcPr>
            <w:tcW w:w="7512" w:type="dxa"/>
            <w:tcBorders>
              <w:top w:val="nil"/>
              <w:left w:val="nil"/>
              <w:bottom w:val="single" w:color="auto" w:sz="4" w:space="0"/>
              <w:right w:val="single" w:color="auto" w:sz="4" w:space="0"/>
            </w:tcBorders>
            <w:vAlign w:val="center"/>
          </w:tcPr>
          <w:p w14:paraId="0F01A868">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4"/>
              </w:rPr>
              <w:t>对该业务有较为详实的了解，熟悉业务流程，能够根据业务特性制定相应的</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方案。所编制</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方案针对性强，内容全面的得分</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15</w:t>
            </w:r>
            <w:r>
              <w:rPr>
                <w:rFonts w:hint="eastAsia" w:ascii="仿宋_GB2312" w:hAnsi="微软雅黑" w:eastAsia="仿宋_GB2312" w:cs="宋体"/>
                <w:color w:val="auto"/>
                <w:kern w:val="0"/>
                <w:sz w:val="24"/>
              </w:rPr>
              <w:t>分；针对性不强，内容较全面的得</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分；无针对性，内容欠缺的得</w:t>
            </w:r>
            <w:r>
              <w:rPr>
                <w:rFonts w:ascii="仿宋_GB2312" w:hAnsi="微软雅黑" w:eastAsia="仿宋_GB2312" w:cs="宋体"/>
                <w:color w:val="auto"/>
                <w:kern w:val="0"/>
                <w:sz w:val="24"/>
              </w:rPr>
              <w:t>1</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分。</w:t>
            </w:r>
          </w:p>
        </w:tc>
      </w:tr>
      <w:tr w14:paraId="57317512">
        <w:tblPrEx>
          <w:tblCellMar>
            <w:top w:w="0" w:type="dxa"/>
            <w:left w:w="108" w:type="dxa"/>
            <w:bottom w:w="0" w:type="dxa"/>
            <w:right w:w="108" w:type="dxa"/>
          </w:tblCellMar>
        </w:tblPrEx>
        <w:trPr>
          <w:trHeight w:val="677" w:hRule="atLeast"/>
          <w:jc w:val="center"/>
        </w:trPr>
        <w:tc>
          <w:tcPr>
            <w:tcW w:w="0" w:type="auto"/>
            <w:vMerge w:val="continue"/>
            <w:tcBorders>
              <w:top w:val="nil"/>
              <w:left w:val="single" w:color="auto" w:sz="4" w:space="0"/>
              <w:bottom w:val="single" w:color="000000" w:sz="8" w:space="0"/>
              <w:right w:val="single" w:color="auto" w:sz="4" w:space="0"/>
            </w:tcBorders>
            <w:vAlign w:val="center"/>
          </w:tcPr>
          <w:p w14:paraId="28C1D0A5">
            <w:pPr>
              <w:widowControl/>
              <w:jc w:val="left"/>
              <w:rPr>
                <w:rFonts w:ascii="仿宋_GB2312" w:hAnsi="微软雅黑" w:eastAsia="仿宋_GB2312" w:cs="宋体"/>
                <w:color w:val="auto"/>
                <w:kern w:val="0"/>
                <w:sz w:val="22"/>
                <w:szCs w:val="22"/>
              </w:rPr>
            </w:pPr>
          </w:p>
        </w:tc>
        <w:tc>
          <w:tcPr>
            <w:tcW w:w="7512" w:type="dxa"/>
            <w:tcBorders>
              <w:top w:val="nil"/>
              <w:left w:val="nil"/>
              <w:bottom w:val="single" w:color="auto" w:sz="4" w:space="0"/>
              <w:right w:val="single" w:color="auto" w:sz="4" w:space="0"/>
            </w:tcBorders>
            <w:vAlign w:val="center"/>
          </w:tcPr>
          <w:p w14:paraId="69C5AA2F">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提供</w:t>
            </w:r>
            <w:r>
              <w:rPr>
                <w:rFonts w:hint="eastAsia" w:ascii="仿宋_GB2312" w:hAnsi="微软雅黑" w:eastAsia="仿宋_GB2312" w:cs="宋体"/>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14:paraId="6384C459">
      <w:pPr>
        <w:spacing w:line="580" w:lineRule="exact"/>
        <w:ind w:firstLine="0" w:firstLineChars="0"/>
        <w:sectPr>
          <w:pgSz w:w="11906" w:h="16838"/>
          <w:pgMar w:top="2098" w:right="1474" w:bottom="1985" w:left="1588" w:header="851" w:footer="992" w:gutter="0"/>
          <w:cols w:space="425" w:num="1"/>
          <w:docGrid w:type="lines" w:linePitch="312" w:charSpace="0"/>
        </w:sectPr>
      </w:pPr>
    </w:p>
    <w:p w14:paraId="7BA5C1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Cs w:val="21"/>
        </w:rPr>
      </w:pP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4C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3C7042F7">
                          <w:pPr>
                            <w:pStyle w:val="7"/>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0N5RNIAAAAEAQAADwAAAAAAAAABACAAAAAiAAAAZHJzL2Rvd25yZXYueG1sUEsBAhQA&#10;FAAAAAgAh07iQGtFyu/4AQAAAQQAAA4AAAAAAAAAAQAgAAAAIQEAAGRycy9lMm9Eb2MueG1sUEsF&#10;BgAAAAAGAAYAWQEAAIsFAAAAAA==&#10;">
              <v:fill on="f" focussize="0,0"/>
              <v:stroke on="f"/>
              <v:imagedata o:title=""/>
              <o:lock v:ext="edit" aspectratio="f"/>
              <v:textbox inset="0mm,0mm,0mm,0mm" style="mso-fit-shape-to-text:t;">
                <w:txbxContent>
                  <w:p w14:paraId="3C7042F7">
                    <w:pPr>
                      <w:pStyle w:val="7"/>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A06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0YTU4MmRhMGI1OTUzOGQ1ZWQ3NmJkODg3YWI5ZDMifQ=="/>
  </w:docVars>
  <w:rsids>
    <w:rsidRoot w:val="00D55F8F"/>
    <w:rsid w:val="00001EE8"/>
    <w:rsid w:val="00004030"/>
    <w:rsid w:val="00005530"/>
    <w:rsid w:val="00013CB8"/>
    <w:rsid w:val="00015CCF"/>
    <w:rsid w:val="0002718E"/>
    <w:rsid w:val="000279CF"/>
    <w:rsid w:val="00030412"/>
    <w:rsid w:val="00031249"/>
    <w:rsid w:val="0004333D"/>
    <w:rsid w:val="00053716"/>
    <w:rsid w:val="0005695C"/>
    <w:rsid w:val="000569FD"/>
    <w:rsid w:val="00057D32"/>
    <w:rsid w:val="00062736"/>
    <w:rsid w:val="0007086D"/>
    <w:rsid w:val="00076475"/>
    <w:rsid w:val="00083BB5"/>
    <w:rsid w:val="00093ADC"/>
    <w:rsid w:val="000A48C1"/>
    <w:rsid w:val="000B3CC8"/>
    <w:rsid w:val="000B407B"/>
    <w:rsid w:val="000B4C05"/>
    <w:rsid w:val="000C0C05"/>
    <w:rsid w:val="000D0EDA"/>
    <w:rsid w:val="000D5A8F"/>
    <w:rsid w:val="000E0180"/>
    <w:rsid w:val="000E2433"/>
    <w:rsid w:val="000E478A"/>
    <w:rsid w:val="000F06B6"/>
    <w:rsid w:val="000F72CD"/>
    <w:rsid w:val="00100FE5"/>
    <w:rsid w:val="001055E1"/>
    <w:rsid w:val="00110341"/>
    <w:rsid w:val="00111DA4"/>
    <w:rsid w:val="0011365D"/>
    <w:rsid w:val="00114CCF"/>
    <w:rsid w:val="0011514B"/>
    <w:rsid w:val="00125D14"/>
    <w:rsid w:val="0013561D"/>
    <w:rsid w:val="001412A5"/>
    <w:rsid w:val="00141425"/>
    <w:rsid w:val="00144F17"/>
    <w:rsid w:val="0014732C"/>
    <w:rsid w:val="00155DB9"/>
    <w:rsid w:val="00156D58"/>
    <w:rsid w:val="00161A32"/>
    <w:rsid w:val="00163751"/>
    <w:rsid w:val="00164ABE"/>
    <w:rsid w:val="001660B7"/>
    <w:rsid w:val="00167188"/>
    <w:rsid w:val="001758F1"/>
    <w:rsid w:val="00190336"/>
    <w:rsid w:val="0019556A"/>
    <w:rsid w:val="001967FE"/>
    <w:rsid w:val="00196F79"/>
    <w:rsid w:val="001A24AC"/>
    <w:rsid w:val="001A54E6"/>
    <w:rsid w:val="001B01FC"/>
    <w:rsid w:val="001B7657"/>
    <w:rsid w:val="001C32BA"/>
    <w:rsid w:val="001C5A3C"/>
    <w:rsid w:val="001C722D"/>
    <w:rsid w:val="001D62DA"/>
    <w:rsid w:val="001E3BDE"/>
    <w:rsid w:val="001F19AD"/>
    <w:rsid w:val="002145B6"/>
    <w:rsid w:val="002177E9"/>
    <w:rsid w:val="002238BF"/>
    <w:rsid w:val="002249C7"/>
    <w:rsid w:val="00230ADC"/>
    <w:rsid w:val="00234131"/>
    <w:rsid w:val="00251E39"/>
    <w:rsid w:val="00260F3F"/>
    <w:rsid w:val="002734D1"/>
    <w:rsid w:val="002748C4"/>
    <w:rsid w:val="00274CFD"/>
    <w:rsid w:val="00277760"/>
    <w:rsid w:val="002823DF"/>
    <w:rsid w:val="00283C7D"/>
    <w:rsid w:val="00294BE0"/>
    <w:rsid w:val="00295E8D"/>
    <w:rsid w:val="002A3F78"/>
    <w:rsid w:val="002A6FAB"/>
    <w:rsid w:val="002B2566"/>
    <w:rsid w:val="002B6962"/>
    <w:rsid w:val="002C1018"/>
    <w:rsid w:val="002C3A32"/>
    <w:rsid w:val="002D661E"/>
    <w:rsid w:val="002D67C1"/>
    <w:rsid w:val="002E4CBB"/>
    <w:rsid w:val="002F7F66"/>
    <w:rsid w:val="00304B52"/>
    <w:rsid w:val="003050BB"/>
    <w:rsid w:val="00305F0B"/>
    <w:rsid w:val="00307A94"/>
    <w:rsid w:val="00332B26"/>
    <w:rsid w:val="00342DA8"/>
    <w:rsid w:val="00344C41"/>
    <w:rsid w:val="00354398"/>
    <w:rsid w:val="0035501F"/>
    <w:rsid w:val="003776C4"/>
    <w:rsid w:val="003817CC"/>
    <w:rsid w:val="0038387F"/>
    <w:rsid w:val="00395DEB"/>
    <w:rsid w:val="003A3C6C"/>
    <w:rsid w:val="003A46E0"/>
    <w:rsid w:val="003A5B00"/>
    <w:rsid w:val="003A6A4E"/>
    <w:rsid w:val="003B1E30"/>
    <w:rsid w:val="003B3488"/>
    <w:rsid w:val="003C0E1B"/>
    <w:rsid w:val="003C2E0F"/>
    <w:rsid w:val="003D1A4B"/>
    <w:rsid w:val="003D3295"/>
    <w:rsid w:val="003D587B"/>
    <w:rsid w:val="003E47A6"/>
    <w:rsid w:val="003F28E9"/>
    <w:rsid w:val="00400DA7"/>
    <w:rsid w:val="004145F6"/>
    <w:rsid w:val="00414C49"/>
    <w:rsid w:val="00434C46"/>
    <w:rsid w:val="0044165E"/>
    <w:rsid w:val="0046110B"/>
    <w:rsid w:val="00474747"/>
    <w:rsid w:val="0047483B"/>
    <w:rsid w:val="004760BC"/>
    <w:rsid w:val="00480F3E"/>
    <w:rsid w:val="00481685"/>
    <w:rsid w:val="00481AFE"/>
    <w:rsid w:val="00490AC3"/>
    <w:rsid w:val="0049493F"/>
    <w:rsid w:val="004A26E7"/>
    <w:rsid w:val="004A2A7D"/>
    <w:rsid w:val="004B0BC9"/>
    <w:rsid w:val="004B5A9D"/>
    <w:rsid w:val="004C15AE"/>
    <w:rsid w:val="004D5E21"/>
    <w:rsid w:val="004E07AE"/>
    <w:rsid w:val="004E1EF0"/>
    <w:rsid w:val="004E209C"/>
    <w:rsid w:val="004E26E4"/>
    <w:rsid w:val="00504E97"/>
    <w:rsid w:val="00506CB6"/>
    <w:rsid w:val="00522B77"/>
    <w:rsid w:val="00523CC8"/>
    <w:rsid w:val="005344EE"/>
    <w:rsid w:val="00535714"/>
    <w:rsid w:val="00537D9E"/>
    <w:rsid w:val="00547C9D"/>
    <w:rsid w:val="00551301"/>
    <w:rsid w:val="00551C58"/>
    <w:rsid w:val="005554E4"/>
    <w:rsid w:val="0055658C"/>
    <w:rsid w:val="00557183"/>
    <w:rsid w:val="005624A4"/>
    <w:rsid w:val="00574021"/>
    <w:rsid w:val="00574234"/>
    <w:rsid w:val="005755CB"/>
    <w:rsid w:val="005800DE"/>
    <w:rsid w:val="005811CE"/>
    <w:rsid w:val="00583695"/>
    <w:rsid w:val="00587059"/>
    <w:rsid w:val="00587903"/>
    <w:rsid w:val="00590F9C"/>
    <w:rsid w:val="00595B1B"/>
    <w:rsid w:val="005B3F4F"/>
    <w:rsid w:val="005B48AB"/>
    <w:rsid w:val="005C3B66"/>
    <w:rsid w:val="005C6D45"/>
    <w:rsid w:val="005D0D19"/>
    <w:rsid w:val="005D2212"/>
    <w:rsid w:val="005D23F0"/>
    <w:rsid w:val="005D44B0"/>
    <w:rsid w:val="005D5119"/>
    <w:rsid w:val="005D6FE5"/>
    <w:rsid w:val="005E7B02"/>
    <w:rsid w:val="005E7F02"/>
    <w:rsid w:val="005F0ACE"/>
    <w:rsid w:val="005F524D"/>
    <w:rsid w:val="006010DD"/>
    <w:rsid w:val="00601DDB"/>
    <w:rsid w:val="00606D53"/>
    <w:rsid w:val="00626185"/>
    <w:rsid w:val="00626200"/>
    <w:rsid w:val="0063314B"/>
    <w:rsid w:val="00640D2E"/>
    <w:rsid w:val="0065551F"/>
    <w:rsid w:val="006609F6"/>
    <w:rsid w:val="00661D60"/>
    <w:rsid w:val="006630B4"/>
    <w:rsid w:val="00674288"/>
    <w:rsid w:val="00681425"/>
    <w:rsid w:val="00681697"/>
    <w:rsid w:val="006868C7"/>
    <w:rsid w:val="00687F44"/>
    <w:rsid w:val="006A6876"/>
    <w:rsid w:val="006A6A34"/>
    <w:rsid w:val="006A7470"/>
    <w:rsid w:val="006A7900"/>
    <w:rsid w:val="006C02B4"/>
    <w:rsid w:val="006D30BE"/>
    <w:rsid w:val="006E0727"/>
    <w:rsid w:val="006E0D57"/>
    <w:rsid w:val="006E1E23"/>
    <w:rsid w:val="006F016C"/>
    <w:rsid w:val="006F4F12"/>
    <w:rsid w:val="006F7F14"/>
    <w:rsid w:val="00700864"/>
    <w:rsid w:val="00702902"/>
    <w:rsid w:val="007111EE"/>
    <w:rsid w:val="00717A8E"/>
    <w:rsid w:val="0072079C"/>
    <w:rsid w:val="00723EA9"/>
    <w:rsid w:val="00732100"/>
    <w:rsid w:val="00734E99"/>
    <w:rsid w:val="00740681"/>
    <w:rsid w:val="00741D12"/>
    <w:rsid w:val="007428B2"/>
    <w:rsid w:val="00743F7E"/>
    <w:rsid w:val="0074634B"/>
    <w:rsid w:val="00752CC6"/>
    <w:rsid w:val="007574F4"/>
    <w:rsid w:val="00761BCD"/>
    <w:rsid w:val="00765FE9"/>
    <w:rsid w:val="007660C2"/>
    <w:rsid w:val="00780DDC"/>
    <w:rsid w:val="00781AAD"/>
    <w:rsid w:val="00784041"/>
    <w:rsid w:val="00785590"/>
    <w:rsid w:val="00795CDD"/>
    <w:rsid w:val="007A4708"/>
    <w:rsid w:val="007A7195"/>
    <w:rsid w:val="007B5678"/>
    <w:rsid w:val="007C1621"/>
    <w:rsid w:val="007C3522"/>
    <w:rsid w:val="007C3B7E"/>
    <w:rsid w:val="007D20E8"/>
    <w:rsid w:val="007E0CA7"/>
    <w:rsid w:val="007E3E38"/>
    <w:rsid w:val="007E4844"/>
    <w:rsid w:val="007F2E4E"/>
    <w:rsid w:val="007F2ED2"/>
    <w:rsid w:val="007F39A1"/>
    <w:rsid w:val="007F4A1F"/>
    <w:rsid w:val="007F5E5D"/>
    <w:rsid w:val="00800D28"/>
    <w:rsid w:val="00806359"/>
    <w:rsid w:val="00806EC6"/>
    <w:rsid w:val="00810832"/>
    <w:rsid w:val="00810B1A"/>
    <w:rsid w:val="008141BF"/>
    <w:rsid w:val="0082362E"/>
    <w:rsid w:val="0082737F"/>
    <w:rsid w:val="008303C8"/>
    <w:rsid w:val="008329F2"/>
    <w:rsid w:val="00845FE3"/>
    <w:rsid w:val="00856680"/>
    <w:rsid w:val="008573E1"/>
    <w:rsid w:val="0086047F"/>
    <w:rsid w:val="00864CA5"/>
    <w:rsid w:val="00871688"/>
    <w:rsid w:val="00871F86"/>
    <w:rsid w:val="00876702"/>
    <w:rsid w:val="00885347"/>
    <w:rsid w:val="008858CD"/>
    <w:rsid w:val="008A048C"/>
    <w:rsid w:val="008A52BD"/>
    <w:rsid w:val="008B152A"/>
    <w:rsid w:val="008B3F35"/>
    <w:rsid w:val="008B7C28"/>
    <w:rsid w:val="008C23B2"/>
    <w:rsid w:val="008D50BE"/>
    <w:rsid w:val="008F0EF7"/>
    <w:rsid w:val="008F20DB"/>
    <w:rsid w:val="008F6F3C"/>
    <w:rsid w:val="008F715A"/>
    <w:rsid w:val="00902737"/>
    <w:rsid w:val="00910486"/>
    <w:rsid w:val="00922619"/>
    <w:rsid w:val="00923EED"/>
    <w:rsid w:val="00924151"/>
    <w:rsid w:val="00926307"/>
    <w:rsid w:val="00927AEF"/>
    <w:rsid w:val="009356C3"/>
    <w:rsid w:val="00942201"/>
    <w:rsid w:val="00943C1C"/>
    <w:rsid w:val="00945F70"/>
    <w:rsid w:val="00961411"/>
    <w:rsid w:val="00963192"/>
    <w:rsid w:val="00967895"/>
    <w:rsid w:val="00970517"/>
    <w:rsid w:val="009841D1"/>
    <w:rsid w:val="009846B9"/>
    <w:rsid w:val="0098474E"/>
    <w:rsid w:val="00984DC7"/>
    <w:rsid w:val="00990092"/>
    <w:rsid w:val="0099019A"/>
    <w:rsid w:val="00995CAD"/>
    <w:rsid w:val="0099705D"/>
    <w:rsid w:val="009A05B1"/>
    <w:rsid w:val="009A1470"/>
    <w:rsid w:val="009A32C4"/>
    <w:rsid w:val="009A3FFA"/>
    <w:rsid w:val="009A62BC"/>
    <w:rsid w:val="009B5F9D"/>
    <w:rsid w:val="009C1CA2"/>
    <w:rsid w:val="009C1FFF"/>
    <w:rsid w:val="009C771F"/>
    <w:rsid w:val="009D505F"/>
    <w:rsid w:val="009E139E"/>
    <w:rsid w:val="009E3375"/>
    <w:rsid w:val="009E4130"/>
    <w:rsid w:val="009E57EC"/>
    <w:rsid w:val="009E778A"/>
    <w:rsid w:val="00A01A4B"/>
    <w:rsid w:val="00A114C4"/>
    <w:rsid w:val="00A125DC"/>
    <w:rsid w:val="00A1436B"/>
    <w:rsid w:val="00A25944"/>
    <w:rsid w:val="00A26E1B"/>
    <w:rsid w:val="00A310F5"/>
    <w:rsid w:val="00A47D72"/>
    <w:rsid w:val="00A6448B"/>
    <w:rsid w:val="00A65D12"/>
    <w:rsid w:val="00A745B9"/>
    <w:rsid w:val="00A74A3E"/>
    <w:rsid w:val="00A8332A"/>
    <w:rsid w:val="00A96D26"/>
    <w:rsid w:val="00AA1B23"/>
    <w:rsid w:val="00AB0EAF"/>
    <w:rsid w:val="00AB4639"/>
    <w:rsid w:val="00AC1FF3"/>
    <w:rsid w:val="00AC20B7"/>
    <w:rsid w:val="00AC3197"/>
    <w:rsid w:val="00AC4BC4"/>
    <w:rsid w:val="00AD7C7C"/>
    <w:rsid w:val="00AE1F4E"/>
    <w:rsid w:val="00AE3EE6"/>
    <w:rsid w:val="00AE49DE"/>
    <w:rsid w:val="00AF0842"/>
    <w:rsid w:val="00AF1B3E"/>
    <w:rsid w:val="00AF22B1"/>
    <w:rsid w:val="00AF4B55"/>
    <w:rsid w:val="00B038EF"/>
    <w:rsid w:val="00B13F99"/>
    <w:rsid w:val="00B209F8"/>
    <w:rsid w:val="00B21BFF"/>
    <w:rsid w:val="00B21F0E"/>
    <w:rsid w:val="00B33B0C"/>
    <w:rsid w:val="00B3490B"/>
    <w:rsid w:val="00B40E42"/>
    <w:rsid w:val="00B4742A"/>
    <w:rsid w:val="00B47E36"/>
    <w:rsid w:val="00B5153B"/>
    <w:rsid w:val="00B57BEC"/>
    <w:rsid w:val="00B65E81"/>
    <w:rsid w:val="00B74211"/>
    <w:rsid w:val="00B749C9"/>
    <w:rsid w:val="00B76387"/>
    <w:rsid w:val="00B76DD7"/>
    <w:rsid w:val="00B83898"/>
    <w:rsid w:val="00B927D3"/>
    <w:rsid w:val="00B92C74"/>
    <w:rsid w:val="00B92DEE"/>
    <w:rsid w:val="00B95AC8"/>
    <w:rsid w:val="00BA35A9"/>
    <w:rsid w:val="00BA45BC"/>
    <w:rsid w:val="00BB2E1F"/>
    <w:rsid w:val="00BC0E1C"/>
    <w:rsid w:val="00BC5136"/>
    <w:rsid w:val="00BE1A40"/>
    <w:rsid w:val="00BE5CA1"/>
    <w:rsid w:val="00C011AA"/>
    <w:rsid w:val="00C07B6E"/>
    <w:rsid w:val="00C10BF3"/>
    <w:rsid w:val="00C2316B"/>
    <w:rsid w:val="00C33433"/>
    <w:rsid w:val="00C37640"/>
    <w:rsid w:val="00C52512"/>
    <w:rsid w:val="00C53DED"/>
    <w:rsid w:val="00C67A56"/>
    <w:rsid w:val="00C704A5"/>
    <w:rsid w:val="00C8127A"/>
    <w:rsid w:val="00C81EBC"/>
    <w:rsid w:val="00C8216B"/>
    <w:rsid w:val="00C83A3F"/>
    <w:rsid w:val="00C97581"/>
    <w:rsid w:val="00C97B3B"/>
    <w:rsid w:val="00CA05AC"/>
    <w:rsid w:val="00CA1A02"/>
    <w:rsid w:val="00CA3284"/>
    <w:rsid w:val="00CC0041"/>
    <w:rsid w:val="00CC4F86"/>
    <w:rsid w:val="00CD5A3F"/>
    <w:rsid w:val="00CE33B8"/>
    <w:rsid w:val="00CF0A68"/>
    <w:rsid w:val="00CF1EAD"/>
    <w:rsid w:val="00D001CD"/>
    <w:rsid w:val="00D026DE"/>
    <w:rsid w:val="00D10C30"/>
    <w:rsid w:val="00D20BA3"/>
    <w:rsid w:val="00D21720"/>
    <w:rsid w:val="00D34A41"/>
    <w:rsid w:val="00D44D88"/>
    <w:rsid w:val="00D4595D"/>
    <w:rsid w:val="00D45E68"/>
    <w:rsid w:val="00D50E79"/>
    <w:rsid w:val="00D52FF0"/>
    <w:rsid w:val="00D55D82"/>
    <w:rsid w:val="00D55F8F"/>
    <w:rsid w:val="00D709AB"/>
    <w:rsid w:val="00D91213"/>
    <w:rsid w:val="00DA1A7D"/>
    <w:rsid w:val="00DA2811"/>
    <w:rsid w:val="00DA5C47"/>
    <w:rsid w:val="00DA7DD9"/>
    <w:rsid w:val="00DB0FB5"/>
    <w:rsid w:val="00DB75A0"/>
    <w:rsid w:val="00DD0BBE"/>
    <w:rsid w:val="00DD3747"/>
    <w:rsid w:val="00DE12D0"/>
    <w:rsid w:val="00DE1434"/>
    <w:rsid w:val="00DE452F"/>
    <w:rsid w:val="00DE49C9"/>
    <w:rsid w:val="00DE70CC"/>
    <w:rsid w:val="00DF34F7"/>
    <w:rsid w:val="00E11C39"/>
    <w:rsid w:val="00E16376"/>
    <w:rsid w:val="00E21F22"/>
    <w:rsid w:val="00E2398E"/>
    <w:rsid w:val="00E264E6"/>
    <w:rsid w:val="00E268B6"/>
    <w:rsid w:val="00E32BBE"/>
    <w:rsid w:val="00E620D9"/>
    <w:rsid w:val="00E6387D"/>
    <w:rsid w:val="00E72348"/>
    <w:rsid w:val="00E7797B"/>
    <w:rsid w:val="00E80747"/>
    <w:rsid w:val="00E82EFA"/>
    <w:rsid w:val="00E8331E"/>
    <w:rsid w:val="00E92F20"/>
    <w:rsid w:val="00E968EB"/>
    <w:rsid w:val="00EA75DA"/>
    <w:rsid w:val="00EB5F2B"/>
    <w:rsid w:val="00EC0F17"/>
    <w:rsid w:val="00EC4980"/>
    <w:rsid w:val="00ED366C"/>
    <w:rsid w:val="00ED5481"/>
    <w:rsid w:val="00ED6CA3"/>
    <w:rsid w:val="00EE1C66"/>
    <w:rsid w:val="00EE4C8F"/>
    <w:rsid w:val="00EF28DB"/>
    <w:rsid w:val="00EF3A2A"/>
    <w:rsid w:val="00EF59AE"/>
    <w:rsid w:val="00EF6362"/>
    <w:rsid w:val="00F077F1"/>
    <w:rsid w:val="00F12CF1"/>
    <w:rsid w:val="00F20940"/>
    <w:rsid w:val="00F24B73"/>
    <w:rsid w:val="00F265F7"/>
    <w:rsid w:val="00F333E6"/>
    <w:rsid w:val="00F35667"/>
    <w:rsid w:val="00F40921"/>
    <w:rsid w:val="00F536DB"/>
    <w:rsid w:val="00F70C83"/>
    <w:rsid w:val="00F812CB"/>
    <w:rsid w:val="00F8489E"/>
    <w:rsid w:val="00F85A5B"/>
    <w:rsid w:val="00F96FB9"/>
    <w:rsid w:val="00F974FB"/>
    <w:rsid w:val="00FA1AA4"/>
    <w:rsid w:val="00FA644C"/>
    <w:rsid w:val="00FB1F90"/>
    <w:rsid w:val="00FB5126"/>
    <w:rsid w:val="00FC35C2"/>
    <w:rsid w:val="00FD44F2"/>
    <w:rsid w:val="00FD67C3"/>
    <w:rsid w:val="00FE5E42"/>
    <w:rsid w:val="00FE62C9"/>
    <w:rsid w:val="00FF1D40"/>
    <w:rsid w:val="00FF5075"/>
    <w:rsid w:val="00FF6833"/>
    <w:rsid w:val="00FF757A"/>
    <w:rsid w:val="00FF7808"/>
    <w:rsid w:val="01FF7A12"/>
    <w:rsid w:val="039514F9"/>
    <w:rsid w:val="059C4889"/>
    <w:rsid w:val="0A397505"/>
    <w:rsid w:val="0B06267E"/>
    <w:rsid w:val="0E9F43CC"/>
    <w:rsid w:val="10BA53FD"/>
    <w:rsid w:val="11EA42A8"/>
    <w:rsid w:val="128559ED"/>
    <w:rsid w:val="129636E0"/>
    <w:rsid w:val="12D41AE2"/>
    <w:rsid w:val="148E47F1"/>
    <w:rsid w:val="198260F2"/>
    <w:rsid w:val="1B933B1C"/>
    <w:rsid w:val="1BA15230"/>
    <w:rsid w:val="1DEA6A1F"/>
    <w:rsid w:val="1F724BFF"/>
    <w:rsid w:val="229028C4"/>
    <w:rsid w:val="22EE5ADF"/>
    <w:rsid w:val="28852AA7"/>
    <w:rsid w:val="2D6E2846"/>
    <w:rsid w:val="2DDA5646"/>
    <w:rsid w:val="2E1375C0"/>
    <w:rsid w:val="35593948"/>
    <w:rsid w:val="3F080748"/>
    <w:rsid w:val="3FF86B5D"/>
    <w:rsid w:val="41651556"/>
    <w:rsid w:val="43F0082A"/>
    <w:rsid w:val="472D6E53"/>
    <w:rsid w:val="481600E5"/>
    <w:rsid w:val="4DC65E8C"/>
    <w:rsid w:val="4F78446F"/>
    <w:rsid w:val="515F1003"/>
    <w:rsid w:val="5AC61216"/>
    <w:rsid w:val="6082642D"/>
    <w:rsid w:val="636B451F"/>
    <w:rsid w:val="67F77CF3"/>
    <w:rsid w:val="6C9A748E"/>
    <w:rsid w:val="6E50191E"/>
    <w:rsid w:val="70D95BDD"/>
    <w:rsid w:val="722F57F2"/>
    <w:rsid w:val="75DB575D"/>
    <w:rsid w:val="7D0C135E"/>
    <w:rsid w:val="7F9C05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semiHidden/>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locked/>
    <w:uiPriority w:val="99"/>
    <w:pPr>
      <w:spacing w:after="120" w:afterLines="0" w:afterAutospacing="0"/>
    </w:pPr>
  </w:style>
  <w:style w:type="paragraph" w:styleId="4">
    <w:name w:val="Body Text Indent"/>
    <w:basedOn w:val="1"/>
    <w:link w:val="21"/>
    <w:qFormat/>
    <w:locked/>
    <w:uiPriority w:val="99"/>
    <w:pPr>
      <w:ind w:firstLine="720" w:firstLineChars="225"/>
    </w:pPr>
    <w:rPr>
      <w:kern w:val="0"/>
      <w:sz w:val="24"/>
    </w:rPr>
  </w:style>
  <w:style w:type="paragraph" w:styleId="5">
    <w:name w:val="Plain Text"/>
    <w:basedOn w:val="1"/>
    <w:link w:val="22"/>
    <w:qFormat/>
    <w:locked/>
    <w:uiPriority w:val="99"/>
    <w:rPr>
      <w:rFonts w:ascii="宋体" w:hAnsi="Courier New"/>
      <w:kern w:val="0"/>
      <w:szCs w:val="21"/>
    </w:rPr>
  </w:style>
  <w:style w:type="paragraph" w:styleId="6">
    <w:name w:val="Balloon Text"/>
    <w:basedOn w:val="1"/>
    <w:link w:val="19"/>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20"/>
    </w:rPr>
  </w:style>
  <w:style w:type="paragraph" w:styleId="9">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0">
    <w:name w:val="Normal (Web)"/>
    <w:basedOn w:val="1"/>
    <w:qFormat/>
    <w:locked/>
    <w:uiPriority w:val="0"/>
    <w:pPr>
      <w:spacing w:before="100" w:beforeAutospacing="1" w:after="100" w:afterAutospacing="1"/>
      <w:jc w:val="left"/>
    </w:pPr>
    <w:rPr>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99"/>
    <w:rPr>
      <w:rFonts w:cs="Times New Roman"/>
    </w:rPr>
  </w:style>
  <w:style w:type="character" w:styleId="15">
    <w:name w:val="Hyperlink"/>
    <w:basedOn w:val="13"/>
    <w:semiHidden/>
    <w:unhideWhenUsed/>
    <w:qFormat/>
    <w:locked/>
    <w:uiPriority w:val="99"/>
    <w:rPr>
      <w:color w:val="0000FF"/>
      <w:u w:val="single"/>
    </w:rPr>
  </w:style>
  <w:style w:type="character" w:customStyle="1" w:styleId="16">
    <w:name w:val="页脚 字符"/>
    <w:link w:val="7"/>
    <w:semiHidden/>
    <w:qFormat/>
    <w:locked/>
    <w:uiPriority w:val="99"/>
    <w:rPr>
      <w:rFonts w:cs="Times New Roman"/>
      <w:sz w:val="18"/>
      <w:szCs w:val="18"/>
    </w:rPr>
  </w:style>
  <w:style w:type="character" w:customStyle="1" w:styleId="17">
    <w:name w:val="页眉 字符"/>
    <w:link w:val="8"/>
    <w:qFormat/>
    <w:locked/>
    <w:uiPriority w:val="99"/>
    <w:rPr>
      <w:rFonts w:cs="Times New Roman"/>
      <w:kern w:val="2"/>
      <w:sz w:val="18"/>
    </w:rPr>
  </w:style>
  <w:style w:type="character" w:customStyle="1" w:styleId="18">
    <w:name w:val="HTML 预设格式 字符"/>
    <w:link w:val="9"/>
    <w:semiHidden/>
    <w:qFormat/>
    <w:locked/>
    <w:uiPriority w:val="99"/>
    <w:rPr>
      <w:rFonts w:ascii="Courier New" w:hAnsi="Courier New" w:cs="Courier New"/>
      <w:sz w:val="20"/>
      <w:szCs w:val="20"/>
    </w:rPr>
  </w:style>
  <w:style w:type="character" w:customStyle="1" w:styleId="19">
    <w:name w:val="批注框文本 字符"/>
    <w:link w:val="6"/>
    <w:qFormat/>
    <w:locked/>
    <w:uiPriority w:val="99"/>
    <w:rPr>
      <w:rFonts w:cs="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字符"/>
    <w:link w:val="4"/>
    <w:semiHidden/>
    <w:qFormat/>
    <w:locked/>
    <w:uiPriority w:val="99"/>
    <w:rPr>
      <w:rFonts w:cs="Times New Roman"/>
      <w:sz w:val="24"/>
      <w:szCs w:val="24"/>
    </w:rPr>
  </w:style>
  <w:style w:type="character" w:customStyle="1" w:styleId="22">
    <w:name w:val="纯文本 字符"/>
    <w:link w:val="5"/>
    <w:semiHidden/>
    <w:qFormat/>
    <w:locked/>
    <w:uiPriority w:val="99"/>
    <w:rPr>
      <w:rFonts w:ascii="宋体" w:hAnsi="Courier New" w:cs="Courier New"/>
      <w:sz w:val="21"/>
      <w:szCs w:val="21"/>
    </w:rPr>
  </w:style>
  <w:style w:type="character" w:customStyle="1" w:styleId="23">
    <w:name w:val="标题 3 Char"/>
    <w:link w:val="3"/>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80F41-3C6F-4E87-8388-F6BE52D468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3596</Words>
  <Characters>3838</Characters>
  <Lines>18</Lines>
  <Paragraphs>5</Paragraphs>
  <TotalTime>11</TotalTime>
  <ScaleCrop>false</ScaleCrop>
  <LinksUpToDate>false</LinksUpToDate>
  <CharactersWithSpaces>3857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2022-05-08T07:07:00Z</dcterms:created>
  <dc:creator>微软用户</dc:creator>
  <cp:lastModifiedBy>衣泳宇</cp:lastModifiedBy>
  <cp:lastPrinted>2021-06-04T01:32:00Z</cp:lastPrinted>
  <dcterms:modified xsi:type="dcterms:W3CDTF">2026-01-13T06:45:21Z</dcterms:modified>
  <dc:title>莱芜钢铁集团有限公司</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A3EB38E92B2E4825ACFA67A693818511_13</vt:lpwstr>
  </property>
  <property fmtid="{D5CDD505-2E9C-101B-9397-08002B2CF9AE}" pid="4" name="KSOTemplateDocerSaveRecord">
    <vt:lpwstr>eyJoZGlkIjoiZjYyMmU1MWQwOTU0ODA0ZGFlY2JmMGI4YmM0NjI2ZWUiLCJ1c2VySWQiOiIzODcyODk2MDkifQ==</vt:lpwstr>
  </property>
</Properties>
</file>