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中国移动通信集团山东有限公司济南分公司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数据专线一260114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72" w:firstLineChars="200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19185226011391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数据专线一260114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3"/>
        <w:tblW w:w="10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24"/>
        <w:gridCol w:w="3421"/>
        <w:gridCol w:w="519"/>
        <w:gridCol w:w="826"/>
        <w:gridCol w:w="870"/>
        <w:gridCol w:w="1167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数据专线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数据专线期限1个月；能源管控中心机房至上海北蕰川路777号宝信移动数据中心IDC2期1A预留机房,数据专线1条,50M跨省0TN数据专线</w:t>
            </w:r>
            <w:bookmarkEnd w:id="0"/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耿建浩13563499343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联系人：贺晓雪  0531-67606213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楼纬 15169031817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莱芜钢铁集团电子有限公司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718290-2D57-4A6B-A994-55CD4BF852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B18C35-8EC8-49E8-BB2D-388B9954F3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C5889F-7EC7-4820-95B7-16A57083F3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A3DB12C-2EB1-41BC-AFA5-2F01798379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21D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0B6346"/>
    <w:rsid w:val="011949CD"/>
    <w:rsid w:val="01317F69"/>
    <w:rsid w:val="01374E54"/>
    <w:rsid w:val="01607FCF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160842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D40E07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904AAE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6C5C41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3C1BB1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795DD4"/>
    <w:rsid w:val="21022930"/>
    <w:rsid w:val="213351E0"/>
    <w:rsid w:val="216435EB"/>
    <w:rsid w:val="21833EE8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057F2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A467F1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8B522E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E16D93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9D3925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1E020D"/>
    <w:rsid w:val="58254CB4"/>
    <w:rsid w:val="5851771E"/>
    <w:rsid w:val="58523BC2"/>
    <w:rsid w:val="58600972"/>
    <w:rsid w:val="589870FB"/>
    <w:rsid w:val="58B31393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6730F0"/>
    <w:rsid w:val="5F7B54A5"/>
    <w:rsid w:val="5F830B05"/>
    <w:rsid w:val="5F9C3975"/>
    <w:rsid w:val="5FAB1E0A"/>
    <w:rsid w:val="5FC622AB"/>
    <w:rsid w:val="5FDF6558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3C0637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DA7B27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6F63DF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6FB48C2"/>
    <w:rsid w:val="77170059"/>
    <w:rsid w:val="77420E4E"/>
    <w:rsid w:val="7764109E"/>
    <w:rsid w:val="776B5CAF"/>
    <w:rsid w:val="7778661E"/>
    <w:rsid w:val="77B70EF4"/>
    <w:rsid w:val="77D9530E"/>
    <w:rsid w:val="77E8046A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2</Pages>
  <Words>1087</Words>
  <Characters>1682</Characters>
  <Lines>327</Lines>
  <Paragraphs>92</Paragraphs>
  <TotalTime>35</TotalTime>
  <ScaleCrop>false</ScaleCrop>
  <LinksUpToDate>false</LinksUpToDate>
  <CharactersWithSpaces>1693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2026-01-15T04:32:18Z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