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b/>
          <w:sz w:val="36"/>
          <w:szCs w:val="36"/>
        </w:rPr>
      </w:pPr>
      <w:r>
        <w:rPr>
          <w:rFonts w:hint="eastAsia" w:ascii="仿宋" w:hAnsi="Helvetica" w:eastAsia="仿宋" w:cs="Helvetica"/>
          <w:b/>
          <w:kern w:val="0"/>
          <w:sz w:val="36"/>
          <w:szCs w:val="36"/>
        </w:rPr>
        <w:t> </w:t>
      </w:r>
      <w:r>
        <w:rPr>
          <w:rFonts w:hint="eastAsia" w:ascii="仿宋" w:hAnsi="仿宋" w:eastAsia="仿宋"/>
          <w:b/>
          <w:sz w:val="36"/>
          <w:szCs w:val="36"/>
        </w:rPr>
        <w:t>山东钢铁集团日照有限公司</w:t>
      </w:r>
    </w:p>
    <w:p>
      <w:pPr>
        <w:spacing w:line="360" w:lineRule="auto"/>
        <w:jc w:val="center"/>
        <w:rPr>
          <w:rFonts w:ascii="等线" w:hAnsi="等线" w:eastAsia="等线" w:cs="宋体"/>
          <w:b/>
          <w:sz w:val="32"/>
          <w:szCs w:val="32"/>
        </w:rPr>
      </w:pPr>
      <w:r>
        <w:rPr>
          <w:rFonts w:hint="eastAsia" w:ascii="等线" w:hAnsi="等线" w:eastAsia="等线" w:cs="宋体"/>
          <w:b/>
          <w:sz w:val="32"/>
          <w:szCs w:val="32"/>
        </w:rPr>
        <w:t>硫磺（</w:t>
      </w:r>
      <w:r>
        <w:rPr>
          <w:rFonts w:hint="eastAsia" w:ascii="等线" w:hAnsi="等线" w:eastAsia="等线" w:cs="宋体"/>
          <w:b/>
          <w:color w:val="auto"/>
          <w:sz w:val="32"/>
          <w:szCs w:val="32"/>
          <w:lang w:eastAsia="zh-CN"/>
        </w:rPr>
        <w:t>2023年第四十</w:t>
      </w:r>
      <w:r>
        <w:rPr>
          <w:rFonts w:hint="eastAsia" w:ascii="等线" w:hAnsi="等线" w:eastAsia="等线" w:cs="宋体"/>
          <w:b/>
          <w:color w:val="auto"/>
          <w:sz w:val="32"/>
          <w:szCs w:val="32"/>
          <w:lang w:val="en-US" w:eastAsia="zh-CN"/>
        </w:rPr>
        <w:t>七</w:t>
      </w:r>
      <w:r>
        <w:rPr>
          <w:rFonts w:hint="eastAsia" w:ascii="等线" w:hAnsi="等线" w:eastAsia="等线" w:cs="宋体"/>
          <w:b/>
          <w:color w:val="auto"/>
          <w:sz w:val="32"/>
          <w:szCs w:val="32"/>
          <w:lang w:eastAsia="zh-CN"/>
        </w:rPr>
        <w:t>批</w:t>
      </w:r>
      <w:r>
        <w:rPr>
          <w:rFonts w:hint="eastAsia" w:ascii="等线" w:hAnsi="等线" w:eastAsia="等线" w:cs="宋体"/>
          <w:b/>
          <w:sz w:val="32"/>
          <w:szCs w:val="32"/>
        </w:rPr>
        <w:t>）竞卖公告</w:t>
      </w:r>
    </w:p>
    <w:p>
      <w:pPr>
        <w:pStyle w:val="12"/>
        <w:ind w:firstLine="588" w:firstLineChars="196"/>
        <w:rPr>
          <w:rFonts w:ascii="仿宋_GB2312" w:hAnsi="等线" w:eastAsia="仿宋_GB2312" w:cs="仿宋_GB2312"/>
          <w:sz w:val="30"/>
          <w:szCs w:val="30"/>
        </w:rPr>
      </w:pPr>
      <w:r>
        <w:rPr>
          <w:rFonts w:hint="eastAsia" w:ascii="仿宋_GB2312" w:hAnsi="等线" w:eastAsia="仿宋_GB2312" w:cs="仿宋_GB2312"/>
          <w:sz w:val="30"/>
          <w:szCs w:val="30"/>
        </w:rPr>
        <w:t>一、卖方标的须知</w:t>
      </w:r>
    </w:p>
    <w:p>
      <w:pPr>
        <w:ind w:firstLine="600" w:firstLineChars="200"/>
        <w:rPr>
          <w:rFonts w:ascii="仿宋_GB2312" w:hAnsi="等线" w:eastAsia="仿宋_GB2312" w:cs="仿宋_GB2312"/>
          <w:sz w:val="30"/>
          <w:szCs w:val="30"/>
        </w:rPr>
      </w:pPr>
      <w:r>
        <w:rPr>
          <w:rFonts w:hint="eastAsia" w:ascii="仿宋_GB2312" w:hAnsi="等线" w:eastAsia="仿宋_GB2312" w:cs="仿宋_GB2312"/>
          <w:sz w:val="30"/>
          <w:szCs w:val="30"/>
        </w:rPr>
        <w:t>1.卖方：山东钢铁集团日照有限公司;</w:t>
      </w:r>
    </w:p>
    <w:p>
      <w:pPr>
        <w:ind w:firstLine="600" w:firstLineChars="200"/>
        <w:rPr>
          <w:rFonts w:ascii="仿宋_GB2312" w:hAnsi="等线" w:eastAsia="仿宋_GB2312" w:cs="仿宋_GB2312"/>
          <w:sz w:val="30"/>
          <w:szCs w:val="30"/>
        </w:rPr>
      </w:pPr>
      <w:r>
        <w:rPr>
          <w:rFonts w:hint="eastAsia" w:ascii="仿宋_GB2312" w:hAnsi="等线" w:eastAsia="仿宋_GB2312" w:cs="仿宋_GB2312"/>
          <w:sz w:val="30"/>
          <w:szCs w:val="30"/>
        </w:rPr>
        <w:t>2.标的：</w:t>
      </w:r>
      <w:r>
        <w:rPr>
          <w:rFonts w:ascii="仿宋_GB2312" w:hAnsi="等线" w:eastAsia="仿宋_GB2312" w:cs="仿宋_GB2312"/>
          <w:sz w:val="30"/>
          <w:szCs w:val="30"/>
        </w:rPr>
        <w:t xml:space="preserve"> </w:t>
      </w:r>
    </w:p>
    <w:tbl>
      <w:tblPr>
        <w:tblStyle w:val="6"/>
        <w:tblW w:w="478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650"/>
        <w:gridCol w:w="1120"/>
        <w:gridCol w:w="3114"/>
        <w:gridCol w:w="15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ascii="仿宋_GB2312" w:hAnsi="等线" w:eastAsia="仿宋_GB2312" w:cs="仿宋_GB2312"/>
                <w:sz w:val="24"/>
                <w:szCs w:val="24"/>
              </w:rPr>
            </w:pPr>
            <w:r>
              <w:rPr>
                <w:rFonts w:hint="eastAsia" w:ascii="仿宋_GB2312" w:hAnsi="等线" w:eastAsia="仿宋_GB2312" w:cs="仿宋_GB2312"/>
                <w:sz w:val="24"/>
                <w:szCs w:val="24"/>
              </w:rPr>
              <w:t>名称</w:t>
            </w:r>
          </w:p>
        </w:tc>
        <w:tc>
          <w:tcPr>
            <w:tcW w:w="1010" w:type="pct"/>
            <w:tcBorders>
              <w:top w:val="single" w:color="auto" w:sz="4" w:space="0"/>
              <w:left w:val="single" w:color="auto" w:sz="4" w:space="0"/>
              <w:bottom w:val="single" w:color="auto" w:sz="4" w:space="0"/>
              <w:right w:val="single" w:color="auto" w:sz="4" w:space="0"/>
            </w:tcBorders>
            <w:vAlign w:val="center"/>
          </w:tcPr>
          <w:p>
            <w:pPr>
              <w:jc w:val="center"/>
              <w:rPr>
                <w:rFonts w:ascii="仿宋_GB2312" w:hAnsi="等线" w:eastAsia="仿宋_GB2312" w:cs="仿宋_GB2312"/>
                <w:sz w:val="24"/>
                <w:szCs w:val="24"/>
              </w:rPr>
            </w:pPr>
            <w:r>
              <w:rPr>
                <w:rFonts w:hint="eastAsia" w:ascii="仿宋_GB2312" w:hAnsi="等线" w:eastAsia="仿宋_GB2312" w:cs="仿宋_GB2312"/>
                <w:sz w:val="24"/>
                <w:szCs w:val="24"/>
              </w:rPr>
              <w:t>执行标准</w:t>
            </w:r>
          </w:p>
        </w:tc>
        <w:tc>
          <w:tcPr>
            <w:tcW w:w="686" w:type="pct"/>
            <w:tcBorders>
              <w:top w:val="single" w:color="auto" w:sz="4" w:space="0"/>
              <w:left w:val="single" w:color="auto" w:sz="4" w:space="0"/>
              <w:bottom w:val="single" w:color="auto" w:sz="4" w:space="0"/>
              <w:right w:val="single" w:color="auto" w:sz="4" w:space="0"/>
            </w:tcBorders>
            <w:vAlign w:val="center"/>
          </w:tcPr>
          <w:p>
            <w:pPr>
              <w:jc w:val="center"/>
              <w:rPr>
                <w:rFonts w:ascii="仿宋_GB2312" w:hAnsi="等线" w:eastAsia="仿宋_GB2312" w:cs="仿宋_GB2312"/>
                <w:sz w:val="24"/>
                <w:szCs w:val="24"/>
              </w:rPr>
            </w:pPr>
            <w:r>
              <w:rPr>
                <w:rFonts w:hint="eastAsia" w:ascii="仿宋_GB2312" w:hAnsi="等线" w:eastAsia="仿宋_GB2312" w:cs="仿宋_GB2312"/>
                <w:sz w:val="24"/>
                <w:szCs w:val="24"/>
              </w:rPr>
              <w:t>等级</w:t>
            </w:r>
          </w:p>
        </w:tc>
        <w:tc>
          <w:tcPr>
            <w:tcW w:w="1907" w:type="pct"/>
            <w:tcBorders>
              <w:top w:val="single" w:color="auto" w:sz="4" w:space="0"/>
              <w:left w:val="single" w:color="auto" w:sz="4" w:space="0"/>
              <w:bottom w:val="single" w:color="auto" w:sz="4" w:space="0"/>
              <w:right w:val="single" w:color="auto" w:sz="4" w:space="0"/>
            </w:tcBorders>
            <w:vAlign w:val="center"/>
          </w:tcPr>
          <w:p>
            <w:pPr>
              <w:jc w:val="center"/>
              <w:rPr>
                <w:rFonts w:ascii="仿宋_GB2312" w:hAnsi="等线" w:eastAsia="仿宋_GB2312" w:cs="仿宋_GB2312"/>
                <w:sz w:val="24"/>
                <w:szCs w:val="24"/>
              </w:rPr>
            </w:pPr>
            <w:r>
              <w:rPr>
                <w:rFonts w:hint="eastAsia" w:ascii="仿宋_GB2312" w:hAnsi="等线" w:eastAsia="仿宋_GB2312" w:cs="仿宋_GB2312"/>
                <w:sz w:val="24"/>
                <w:szCs w:val="24"/>
              </w:rPr>
              <w:t>交货时间、交货量</w:t>
            </w:r>
          </w:p>
        </w:tc>
        <w:tc>
          <w:tcPr>
            <w:tcW w:w="926" w:type="pct"/>
            <w:tcBorders>
              <w:top w:val="single" w:color="auto" w:sz="4" w:space="0"/>
              <w:left w:val="single" w:color="auto" w:sz="4" w:space="0"/>
              <w:bottom w:val="single" w:color="auto" w:sz="4" w:space="0"/>
              <w:right w:val="single" w:color="auto" w:sz="4" w:space="0"/>
            </w:tcBorders>
            <w:vAlign w:val="center"/>
          </w:tcPr>
          <w:p>
            <w:pPr>
              <w:jc w:val="center"/>
              <w:rPr>
                <w:rFonts w:ascii="仿宋_GB2312" w:hAnsi="等线" w:eastAsia="仿宋_GB2312" w:cs="仿宋_GB2312"/>
                <w:sz w:val="24"/>
                <w:szCs w:val="24"/>
              </w:rPr>
            </w:pPr>
            <w:r>
              <w:rPr>
                <w:rFonts w:hint="eastAsia" w:ascii="仿宋_GB2312" w:hAnsi="等线" w:eastAsia="仿宋_GB2312" w:cs="仿宋_GB2312"/>
                <w:sz w:val="24"/>
                <w:szCs w:val="24"/>
              </w:rPr>
              <w:t>产生单位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468" w:type="pct"/>
            <w:tcBorders>
              <w:top w:val="single" w:color="auto" w:sz="4" w:space="0"/>
              <w:left w:val="single" w:color="auto" w:sz="4" w:space="0"/>
              <w:bottom w:val="single" w:color="auto" w:sz="4" w:space="0"/>
              <w:right w:val="single" w:color="auto" w:sz="4" w:space="0"/>
            </w:tcBorders>
            <w:vAlign w:val="center"/>
          </w:tcPr>
          <w:p>
            <w:pPr>
              <w:jc w:val="center"/>
              <w:rPr>
                <w:rFonts w:ascii="仿宋_GB2312" w:hAnsi="等线" w:eastAsia="仿宋_GB2312" w:cs="仿宋_GB2312"/>
                <w:sz w:val="24"/>
                <w:szCs w:val="24"/>
              </w:rPr>
            </w:pPr>
            <w:r>
              <w:rPr>
                <w:rFonts w:hint="eastAsia" w:ascii="仿宋_GB2312" w:hAnsi="等线" w:eastAsia="仿宋_GB2312" w:cs="仿宋_GB2312"/>
                <w:sz w:val="24"/>
                <w:szCs w:val="24"/>
              </w:rPr>
              <w:t>硫磺</w:t>
            </w:r>
          </w:p>
        </w:tc>
        <w:tc>
          <w:tcPr>
            <w:tcW w:w="1010" w:type="pct"/>
            <w:tcBorders>
              <w:top w:val="single" w:color="auto" w:sz="4" w:space="0"/>
              <w:left w:val="single" w:color="auto" w:sz="4" w:space="0"/>
              <w:bottom w:val="single" w:color="auto" w:sz="4" w:space="0"/>
              <w:right w:val="single" w:color="auto" w:sz="4" w:space="0"/>
            </w:tcBorders>
            <w:vAlign w:val="center"/>
          </w:tcPr>
          <w:p>
            <w:pPr>
              <w:jc w:val="center"/>
              <w:rPr>
                <w:rFonts w:ascii="仿宋_GB2312" w:hAnsi="等线" w:eastAsia="仿宋_GB2312" w:cs="仿宋_GB2312"/>
                <w:sz w:val="24"/>
                <w:szCs w:val="24"/>
              </w:rPr>
            </w:pPr>
            <w:r>
              <w:rPr>
                <w:rFonts w:hint="eastAsia" w:ascii="仿宋_GB2312" w:hAnsi="等线" w:eastAsia="仿宋_GB2312" w:cs="仿宋_GB2312"/>
                <w:sz w:val="24"/>
                <w:szCs w:val="24"/>
              </w:rPr>
              <w:t>GB/T 2449.1-2014</w:t>
            </w:r>
          </w:p>
        </w:tc>
        <w:tc>
          <w:tcPr>
            <w:tcW w:w="686" w:type="pct"/>
            <w:tcBorders>
              <w:top w:val="single" w:color="auto" w:sz="4" w:space="0"/>
              <w:left w:val="single" w:color="auto" w:sz="4" w:space="0"/>
              <w:bottom w:val="single" w:color="auto" w:sz="4" w:space="0"/>
              <w:right w:val="single" w:color="auto" w:sz="4" w:space="0"/>
            </w:tcBorders>
            <w:vAlign w:val="center"/>
          </w:tcPr>
          <w:p>
            <w:pPr>
              <w:jc w:val="center"/>
              <w:rPr>
                <w:rFonts w:ascii="仿宋_GB2312" w:hAnsi="等线" w:eastAsia="仿宋_GB2312" w:cs="仿宋_GB2312"/>
                <w:sz w:val="24"/>
                <w:szCs w:val="24"/>
              </w:rPr>
            </w:pPr>
            <w:r>
              <w:rPr>
                <w:rFonts w:hint="eastAsia" w:ascii="仿宋_GB2312" w:hAnsi="等线" w:eastAsia="仿宋_GB2312" w:cs="仿宋_GB2312"/>
                <w:sz w:val="24"/>
                <w:szCs w:val="24"/>
              </w:rPr>
              <w:t>一等品</w:t>
            </w:r>
          </w:p>
        </w:tc>
        <w:tc>
          <w:tcPr>
            <w:tcW w:w="1907" w:type="pct"/>
            <w:tcBorders>
              <w:top w:val="single" w:color="auto" w:sz="4" w:space="0"/>
              <w:left w:val="single" w:color="auto" w:sz="4" w:space="0"/>
              <w:bottom w:val="single" w:color="auto" w:sz="4" w:space="0"/>
              <w:right w:val="single" w:color="auto" w:sz="4" w:space="0"/>
            </w:tcBorders>
            <w:vAlign w:val="center"/>
          </w:tcPr>
          <w:p>
            <w:pPr>
              <w:jc w:val="center"/>
              <w:rPr>
                <w:rFonts w:hint="default" w:ascii="仿宋_GB2312" w:hAnsi="等线" w:eastAsia="仿宋_GB2312" w:cs="仿宋_GB2312"/>
                <w:color w:val="auto"/>
                <w:sz w:val="24"/>
                <w:szCs w:val="24"/>
                <w:lang w:val="en-US" w:eastAsia="zh-CN"/>
              </w:rPr>
            </w:pPr>
            <w:r>
              <w:rPr>
                <w:rFonts w:hint="eastAsia" w:ascii="仿宋_GB2312" w:hAnsi="等线" w:eastAsia="仿宋_GB2312" w:cs="仿宋_GB2312"/>
                <w:color w:val="auto"/>
                <w:sz w:val="24"/>
                <w:szCs w:val="24"/>
              </w:rPr>
              <w:t>2023.1</w:t>
            </w:r>
            <w:r>
              <w:rPr>
                <w:rFonts w:hint="eastAsia" w:ascii="仿宋_GB2312" w:hAnsi="等线" w:eastAsia="仿宋_GB2312" w:cs="仿宋_GB2312"/>
                <w:color w:val="auto"/>
                <w:sz w:val="24"/>
                <w:szCs w:val="24"/>
                <w:lang w:val="en-US" w:eastAsia="zh-CN"/>
              </w:rPr>
              <w:t>2</w:t>
            </w:r>
            <w:r>
              <w:rPr>
                <w:rFonts w:hint="eastAsia" w:ascii="仿宋_GB2312" w:hAnsi="等线" w:eastAsia="仿宋_GB2312" w:cs="仿宋_GB2312"/>
                <w:color w:val="auto"/>
                <w:sz w:val="24"/>
                <w:szCs w:val="24"/>
              </w:rPr>
              <w:t>.</w:t>
            </w:r>
            <w:r>
              <w:rPr>
                <w:rFonts w:hint="eastAsia" w:ascii="仿宋_GB2312" w:hAnsi="等线" w:eastAsia="仿宋_GB2312" w:cs="仿宋_GB2312"/>
                <w:color w:val="auto"/>
                <w:sz w:val="24"/>
                <w:szCs w:val="24"/>
                <w:lang w:val="en-US" w:eastAsia="zh-CN"/>
              </w:rPr>
              <w:t>16</w:t>
            </w:r>
            <w:r>
              <w:rPr>
                <w:rFonts w:hint="eastAsia" w:ascii="仿宋_GB2312" w:hAnsi="等线" w:eastAsia="仿宋_GB2312" w:cs="仿宋_GB2312"/>
                <w:color w:val="auto"/>
                <w:sz w:val="24"/>
                <w:szCs w:val="24"/>
              </w:rPr>
              <w:t>-2023.</w:t>
            </w:r>
            <w:r>
              <w:rPr>
                <w:rFonts w:hint="eastAsia" w:ascii="仿宋_GB2312" w:hAnsi="等线" w:eastAsia="仿宋_GB2312" w:cs="仿宋_GB2312"/>
                <w:color w:val="auto"/>
                <w:sz w:val="24"/>
                <w:szCs w:val="24"/>
                <w:lang w:val="en-US" w:eastAsia="zh-CN"/>
              </w:rPr>
              <w:t>12</w:t>
            </w:r>
            <w:r>
              <w:rPr>
                <w:rFonts w:hint="eastAsia" w:ascii="仿宋_GB2312" w:hAnsi="等线" w:eastAsia="仿宋_GB2312" w:cs="仿宋_GB2312"/>
                <w:color w:val="auto"/>
                <w:sz w:val="24"/>
                <w:szCs w:val="24"/>
              </w:rPr>
              <w:t>.</w:t>
            </w:r>
            <w:r>
              <w:rPr>
                <w:rFonts w:hint="eastAsia" w:ascii="仿宋_GB2312" w:hAnsi="等线" w:eastAsia="仿宋_GB2312" w:cs="仿宋_GB2312"/>
                <w:color w:val="auto"/>
                <w:sz w:val="24"/>
                <w:szCs w:val="24"/>
                <w:lang w:val="en-US" w:eastAsia="zh-CN"/>
              </w:rPr>
              <w:t>22</w:t>
            </w:r>
          </w:p>
          <w:p>
            <w:pPr>
              <w:jc w:val="center"/>
              <w:rPr>
                <w:rFonts w:ascii="仿宋_GB2312" w:hAnsi="等线" w:eastAsia="仿宋_GB2312" w:cs="仿宋_GB2312"/>
                <w:color w:val="auto"/>
                <w:sz w:val="24"/>
                <w:szCs w:val="24"/>
              </w:rPr>
            </w:pPr>
            <w:r>
              <w:rPr>
                <w:rFonts w:hint="eastAsia" w:ascii="仿宋_GB2312" w:hAnsi="等线" w:eastAsia="仿宋_GB2312" w:cs="仿宋_GB2312"/>
                <w:color w:val="auto"/>
                <w:sz w:val="24"/>
                <w:szCs w:val="24"/>
              </w:rPr>
              <w:t>期间生产的硫磺，约</w:t>
            </w:r>
            <w:r>
              <w:rPr>
                <w:rFonts w:hint="eastAsia" w:ascii="仿宋_GB2312" w:hAnsi="等线" w:eastAsia="仿宋_GB2312" w:cs="仿宋_GB2312"/>
                <w:color w:val="auto"/>
                <w:sz w:val="24"/>
                <w:szCs w:val="24"/>
                <w:highlight w:val="none"/>
                <w:lang w:val="en-US" w:eastAsia="zh-CN"/>
              </w:rPr>
              <w:t>165</w:t>
            </w:r>
            <w:r>
              <w:rPr>
                <w:rFonts w:hint="eastAsia" w:ascii="仿宋_GB2312" w:hAnsi="等线" w:eastAsia="仿宋_GB2312" w:cs="仿宋_GB2312"/>
                <w:color w:val="auto"/>
                <w:sz w:val="24"/>
                <w:szCs w:val="24"/>
                <w:highlight w:val="none"/>
              </w:rPr>
              <w:t>吨</w:t>
            </w:r>
            <w:r>
              <w:rPr>
                <w:rFonts w:hint="eastAsia" w:ascii="仿宋_GB2312" w:hAnsi="等线" w:eastAsia="仿宋_GB2312" w:cs="仿宋_GB2312"/>
                <w:color w:val="auto"/>
                <w:sz w:val="24"/>
                <w:szCs w:val="24"/>
              </w:rPr>
              <w:t>。</w:t>
            </w:r>
          </w:p>
        </w:tc>
        <w:tc>
          <w:tcPr>
            <w:tcW w:w="926" w:type="pct"/>
            <w:tcBorders>
              <w:top w:val="single" w:color="auto" w:sz="4" w:space="0"/>
              <w:left w:val="single" w:color="auto" w:sz="4" w:space="0"/>
              <w:bottom w:val="single" w:color="auto" w:sz="4" w:space="0"/>
              <w:right w:val="single" w:color="auto" w:sz="4" w:space="0"/>
            </w:tcBorders>
            <w:vAlign w:val="center"/>
          </w:tcPr>
          <w:p>
            <w:pPr>
              <w:jc w:val="center"/>
              <w:rPr>
                <w:rFonts w:ascii="仿宋_GB2312" w:hAnsi="等线" w:eastAsia="仿宋_GB2312" w:cs="仿宋_GB2312"/>
                <w:sz w:val="24"/>
                <w:szCs w:val="24"/>
              </w:rPr>
            </w:pPr>
            <w:r>
              <w:rPr>
                <w:rFonts w:hint="eastAsia" w:ascii="仿宋_GB2312" w:hAnsi="等线" w:eastAsia="仿宋_GB2312" w:cs="仿宋_GB2312"/>
                <w:sz w:val="24"/>
                <w:szCs w:val="24"/>
              </w:rPr>
              <w:t>焦化厂</w:t>
            </w:r>
          </w:p>
        </w:tc>
      </w:tr>
    </w:tbl>
    <w:p>
      <w:pPr>
        <w:spacing w:line="520" w:lineRule="exact"/>
        <w:ind w:firstLine="600" w:firstLineChars="200"/>
        <w:rPr>
          <w:rFonts w:ascii="仿宋_GB2312" w:hAnsi="等线" w:eastAsia="仿宋_GB2312" w:cs="仿宋_GB2312"/>
          <w:sz w:val="30"/>
          <w:szCs w:val="30"/>
        </w:rPr>
      </w:pPr>
      <w:r>
        <w:rPr>
          <w:rFonts w:hint="eastAsia" w:ascii="仿宋_GB2312" w:hAnsi="等线" w:eastAsia="仿宋_GB2312" w:cs="仿宋_GB2312"/>
          <w:sz w:val="30"/>
          <w:szCs w:val="30"/>
        </w:rPr>
        <w:t>注：货品为颗粒状，50kg袋装。</w:t>
      </w:r>
    </w:p>
    <w:p>
      <w:pPr>
        <w:ind w:firstLine="750" w:firstLineChars="250"/>
        <w:rPr>
          <w:rFonts w:ascii="仿宋_GB2312" w:hAnsi="等线" w:eastAsia="仿宋_GB2312" w:cs="仿宋_GB2312"/>
          <w:sz w:val="30"/>
          <w:szCs w:val="30"/>
        </w:rPr>
      </w:pPr>
      <w:r>
        <w:rPr>
          <w:rFonts w:hint="eastAsia" w:ascii="仿宋_GB2312" w:hAnsi="等线" w:eastAsia="仿宋_GB2312"/>
          <w:bCs/>
          <w:sz w:val="30"/>
          <w:szCs w:val="30"/>
        </w:rPr>
        <w:t>3.</w:t>
      </w:r>
      <w:r>
        <w:rPr>
          <w:rFonts w:hint="eastAsia" w:ascii="仿宋_GB2312" w:hAnsi="等线" w:eastAsia="仿宋_GB2312"/>
          <w:b/>
          <w:bCs/>
          <w:sz w:val="30"/>
          <w:szCs w:val="30"/>
        </w:rPr>
        <w:t>发运必须按照卖方要求及时派车，如不按要求及时提货将视为违约，按照合同相关违约条款执行。</w:t>
      </w:r>
    </w:p>
    <w:p>
      <w:pPr>
        <w:spacing w:line="520" w:lineRule="exact"/>
        <w:ind w:firstLine="602" w:firstLineChars="200"/>
        <w:rPr>
          <w:rFonts w:ascii="仿宋_GB2312" w:hAnsi="仿宋" w:eastAsia="仿宋_GB2312" w:cs="宋体"/>
          <w:b/>
          <w:kern w:val="0"/>
          <w:sz w:val="30"/>
          <w:szCs w:val="30"/>
        </w:rPr>
      </w:pPr>
      <w:r>
        <w:rPr>
          <w:rFonts w:hint="eastAsia" w:ascii="仿宋_GB2312" w:hAnsi="仿宋" w:eastAsia="仿宋_GB2312" w:cs="宋体"/>
          <w:b/>
          <w:kern w:val="0"/>
          <w:sz w:val="30"/>
          <w:szCs w:val="30"/>
        </w:rPr>
        <w:t>二、资质要求</w:t>
      </w:r>
    </w:p>
    <w:p>
      <w:pPr>
        <w:ind w:firstLine="600" w:firstLineChars="200"/>
        <w:rPr>
          <w:rFonts w:ascii="仿宋_GB2312" w:hAnsi="仿宋_GB2312" w:eastAsia="仿宋_GB2312" w:cs="仿宋_GB2312"/>
          <w:sz w:val="30"/>
          <w:szCs w:val="30"/>
          <w:highlight w:val="yellow"/>
        </w:rPr>
      </w:pPr>
      <w:r>
        <w:rPr>
          <w:rFonts w:hint="eastAsia" w:ascii="仿宋_GB2312" w:hAnsi="仿宋_GB2312" w:eastAsia="仿宋_GB2312" w:cs="仿宋_GB2312"/>
          <w:sz w:val="30"/>
          <w:szCs w:val="30"/>
        </w:rPr>
        <w:t>1</w:t>
      </w:r>
      <w:r>
        <w:rPr>
          <w:rFonts w:hint="eastAsia" w:ascii="仿宋_GB2312" w:hAnsi="仿宋" w:eastAsia="仿宋_GB2312" w:cs="宋体"/>
          <w:kern w:val="0"/>
          <w:sz w:val="30"/>
          <w:szCs w:val="30"/>
        </w:rPr>
        <w:t>.</w:t>
      </w:r>
      <w:r>
        <w:rPr>
          <w:rFonts w:hint="eastAsia" w:ascii="仿宋_GB2312" w:hAnsi="仿宋_GB2312" w:eastAsia="仿宋_GB2312" w:cs="仿宋_GB2312"/>
          <w:sz w:val="30"/>
          <w:szCs w:val="30"/>
        </w:rPr>
        <w:t>根据《易制爆危险化学品治安管理办法》投标单位必须在公安机关开通危险化学品信息管理系统备案，须上传竞买方在公安管理系统中的登录界面照片、报备货品照片；</w:t>
      </w:r>
    </w:p>
    <w:p>
      <w:pPr>
        <w:spacing w:line="520" w:lineRule="exact"/>
        <w:ind w:firstLine="600" w:firstLineChars="200"/>
        <w:rPr>
          <w:rFonts w:ascii="仿宋_GB2312" w:hAnsi="仿宋" w:eastAsia="仿宋_GB2312" w:cs="宋体"/>
          <w:kern w:val="0"/>
          <w:sz w:val="30"/>
          <w:szCs w:val="30"/>
        </w:rPr>
      </w:pPr>
      <w:r>
        <w:rPr>
          <w:rFonts w:hint="eastAsia" w:ascii="仿宋_GB2312" w:hAnsi="仿宋" w:eastAsia="仿宋_GB2312" w:cs="宋体"/>
          <w:kern w:val="0"/>
          <w:sz w:val="30"/>
          <w:szCs w:val="30"/>
        </w:rPr>
        <w:t>2.营业执照经营范围含易制爆危化品、硫磺，危化品经营许可证或危化品生产许可证中许可范围含有硫磺；</w:t>
      </w:r>
      <w:r>
        <w:rPr>
          <w:rFonts w:hint="eastAsia" w:ascii="仿宋_GB2312" w:hAnsi="仿宋_GB2312" w:eastAsia="仿宋_GB2312" w:cs="仿宋_GB2312"/>
          <w:sz w:val="30"/>
          <w:szCs w:val="30"/>
        </w:rPr>
        <w:t>须上传营业执照扫描件、危化品经营许可证或危化品生产许可证扫描件</w:t>
      </w:r>
      <w:r>
        <w:rPr>
          <w:rFonts w:hint="eastAsia" w:ascii="仿宋_GB2312" w:hAnsi="仿宋" w:eastAsia="仿宋_GB2312" w:cs="宋体"/>
          <w:kern w:val="0"/>
          <w:sz w:val="30"/>
          <w:szCs w:val="30"/>
        </w:rPr>
        <w:t>；</w:t>
      </w:r>
    </w:p>
    <w:p>
      <w:pPr>
        <w:ind w:firstLine="600" w:firstLineChars="200"/>
        <w:rPr>
          <w:rFonts w:ascii="仿宋_GB2312" w:hAnsi="仿宋" w:eastAsia="仿宋_GB2312" w:cs="宋体"/>
          <w:kern w:val="0"/>
          <w:sz w:val="30"/>
          <w:szCs w:val="30"/>
        </w:rPr>
      </w:pPr>
      <w:r>
        <w:rPr>
          <w:rFonts w:hint="eastAsia" w:ascii="仿宋_GB2312" w:hAnsi="仿宋" w:eastAsia="仿宋_GB2312" w:cs="宋体"/>
          <w:kern w:val="0"/>
          <w:sz w:val="30"/>
          <w:szCs w:val="30"/>
        </w:rPr>
        <w:t>3.同时满足以上二条要求的客户，按照系统要求及网上投标注册流程，在</w:t>
      </w:r>
      <w:r>
        <w:rPr>
          <w:rFonts w:hint="eastAsia" w:ascii="仿宋_GB2312" w:hAnsi="仿宋" w:eastAsia="仿宋_GB2312"/>
          <w:sz w:val="30"/>
          <w:szCs w:val="30"/>
        </w:rPr>
        <w:t>《山钢集团招标采购与拍卖管理信息平台》</w:t>
      </w:r>
      <w:r>
        <w:rPr>
          <w:rFonts w:hint="eastAsia" w:ascii="仿宋_GB2312" w:hAnsi="仿宋" w:eastAsia="仿宋_GB2312" w:cs="宋体"/>
          <w:kern w:val="0"/>
          <w:sz w:val="30"/>
          <w:szCs w:val="30"/>
        </w:rPr>
        <w:t>注册，注册成功后方可参与；注册的法人或授权委托人联系方式须确保畅通。</w:t>
      </w:r>
    </w:p>
    <w:p>
      <w:pPr>
        <w:spacing w:line="520" w:lineRule="exact"/>
        <w:ind w:firstLine="560" w:firstLineChars="200"/>
        <w:rPr>
          <w:rFonts w:ascii="仿宋_GB2312" w:hAnsi="仿宋" w:eastAsia="仿宋_GB2312" w:cs="宋体"/>
          <w:kern w:val="0"/>
          <w:sz w:val="30"/>
          <w:szCs w:val="30"/>
        </w:rPr>
      </w:pPr>
      <w:r>
        <w:rPr>
          <w:rFonts w:hint="eastAsia" w:ascii="仿宋_GB2312" w:hAnsi="仿宋" w:eastAsia="仿宋_GB2312" w:cs="宋体"/>
          <w:kern w:val="0"/>
          <w:sz w:val="28"/>
          <w:szCs w:val="28"/>
        </w:rPr>
        <w:t>三、买方</w:t>
      </w:r>
      <w:r>
        <w:rPr>
          <w:rFonts w:hint="eastAsia" w:ascii="仿宋_GB2312" w:hAnsi="仿宋" w:eastAsia="仿宋_GB2312" w:cs="宋体"/>
          <w:kern w:val="0"/>
          <w:sz w:val="30"/>
          <w:szCs w:val="30"/>
        </w:rPr>
        <w:t>须知：</w:t>
      </w:r>
    </w:p>
    <w:p>
      <w:pPr>
        <w:spacing w:line="560" w:lineRule="exact"/>
        <w:ind w:firstLine="600" w:firstLineChars="200"/>
        <w:rPr>
          <w:rFonts w:ascii="仿宋_GB2312" w:hAnsi="仿宋" w:eastAsia="仿宋_GB2312" w:cs="宋体"/>
          <w:kern w:val="0"/>
          <w:sz w:val="30"/>
          <w:szCs w:val="30"/>
        </w:rPr>
      </w:pPr>
      <w:r>
        <w:rPr>
          <w:rFonts w:hint="eastAsia" w:ascii="仿宋_GB2312" w:hAnsi="仿宋" w:eastAsia="仿宋_GB2312" w:cs="宋体"/>
          <w:kern w:val="0"/>
          <w:sz w:val="30"/>
          <w:szCs w:val="30"/>
        </w:rPr>
        <w:t>1.按照标的物投标报价高低顺序，</w:t>
      </w:r>
      <w:r>
        <w:rPr>
          <w:rFonts w:hint="eastAsia" w:ascii="仿宋_GB2312" w:hAnsi="仿宋" w:eastAsia="仿宋_GB2312" w:cs="宋体"/>
          <w:color w:val="auto"/>
          <w:kern w:val="0"/>
          <w:sz w:val="30"/>
          <w:szCs w:val="30"/>
        </w:rPr>
        <w:t>报价最高的</w:t>
      </w:r>
      <w:r>
        <w:rPr>
          <w:rFonts w:hint="eastAsia" w:ascii="仿宋_GB2312" w:hAnsi="仿宋" w:eastAsia="仿宋_GB2312" w:cs="宋体"/>
          <w:b/>
          <w:bCs/>
          <w:color w:val="auto"/>
          <w:kern w:val="0"/>
          <w:sz w:val="30"/>
          <w:szCs w:val="30"/>
        </w:rPr>
        <w:t>前五名入围</w:t>
      </w:r>
      <w:r>
        <w:rPr>
          <w:rFonts w:hint="eastAsia" w:ascii="仿宋_GB2312" w:hAnsi="仿宋" w:eastAsia="仿宋_GB2312" w:cs="宋体"/>
          <w:color w:val="auto"/>
          <w:kern w:val="0"/>
          <w:sz w:val="30"/>
          <w:szCs w:val="30"/>
        </w:rPr>
        <w:t>，</w:t>
      </w:r>
      <w:r>
        <w:rPr>
          <w:rFonts w:hint="eastAsia" w:ascii="仿宋_GB2312" w:hAnsi="仿宋" w:eastAsia="仿宋_GB2312" w:cs="宋体"/>
          <w:kern w:val="0"/>
          <w:sz w:val="30"/>
          <w:szCs w:val="30"/>
        </w:rPr>
        <w:t>在投标最高报价基础上进行竞价，</w:t>
      </w:r>
      <w:r>
        <w:rPr>
          <w:rFonts w:hint="eastAsia" w:ascii="仿宋_GB2312" w:hAnsi="仿宋" w:eastAsia="仿宋_GB2312" w:cs="宋体"/>
          <w:b w:val="0"/>
          <w:bCs w:val="0"/>
          <w:kern w:val="0"/>
          <w:sz w:val="30"/>
          <w:szCs w:val="30"/>
        </w:rPr>
        <w:t>最终单价最高</w:t>
      </w:r>
      <w:r>
        <w:rPr>
          <w:rFonts w:hint="eastAsia" w:ascii="仿宋_GB2312" w:hAnsi="仿宋" w:eastAsia="仿宋_GB2312" w:cs="宋体"/>
          <w:kern w:val="0"/>
          <w:sz w:val="30"/>
          <w:szCs w:val="30"/>
        </w:rPr>
        <w:t>的买方得标；</w:t>
      </w:r>
    </w:p>
    <w:p>
      <w:pPr>
        <w:spacing w:line="520" w:lineRule="exact"/>
        <w:ind w:firstLine="600" w:firstLineChars="200"/>
        <w:rPr>
          <w:rFonts w:ascii="仿宋_GB2312" w:hAnsi="等线" w:eastAsia="仿宋_GB2312"/>
          <w:b/>
          <w:bCs/>
          <w:sz w:val="30"/>
          <w:szCs w:val="30"/>
        </w:rPr>
      </w:pPr>
      <w:r>
        <w:rPr>
          <w:rFonts w:hint="eastAsia" w:ascii="仿宋_GB2312" w:hAnsi="仿宋" w:eastAsia="仿宋_GB2312" w:cs="宋体"/>
          <w:kern w:val="0"/>
          <w:sz w:val="30"/>
          <w:szCs w:val="30"/>
        </w:rPr>
        <w:t>2.</w:t>
      </w:r>
      <w:r>
        <w:rPr>
          <w:rFonts w:hint="eastAsia" w:ascii="仿宋_GB2312" w:hAnsi="等线" w:eastAsia="仿宋_GB2312" w:cs="华文楷体"/>
          <w:sz w:val="30"/>
          <w:szCs w:val="30"/>
        </w:rPr>
        <w:t>买方</w:t>
      </w:r>
      <w:r>
        <w:rPr>
          <w:rFonts w:hint="eastAsia" w:ascii="仿宋_GB2312" w:hAnsi="等线" w:eastAsia="仿宋_GB2312"/>
          <w:bCs/>
          <w:sz w:val="30"/>
          <w:szCs w:val="30"/>
        </w:rPr>
        <w:t>须</w:t>
      </w:r>
      <w:r>
        <w:rPr>
          <w:rFonts w:hint="eastAsia" w:ascii="仿宋_GB2312" w:eastAsia="仿宋_GB2312" w:cs="宋体"/>
          <w:sz w:val="30"/>
          <w:szCs w:val="30"/>
        </w:rPr>
        <w:t>严格遵守日照公司相关的管理规定，服从现场管理，及时安排车辆发运</w:t>
      </w:r>
      <w:r>
        <w:rPr>
          <w:rFonts w:hint="eastAsia" w:ascii="仿宋_GB2312" w:hAnsi="等线" w:eastAsia="仿宋_GB2312"/>
          <w:bCs/>
          <w:sz w:val="30"/>
          <w:szCs w:val="30"/>
        </w:rPr>
        <w:t>；</w:t>
      </w:r>
      <w:r>
        <w:rPr>
          <w:rFonts w:hint="eastAsia" w:ascii="仿宋_GB2312" w:hAnsi="等线" w:eastAsia="仿宋_GB2312"/>
          <w:b/>
          <w:bCs/>
          <w:sz w:val="30"/>
          <w:szCs w:val="30"/>
        </w:rPr>
        <w:t>以卖方的实际出库的指标、重量为准，不接受由于预估数量差异或货品指标差异而产生的任何异议；</w:t>
      </w:r>
    </w:p>
    <w:p>
      <w:pPr>
        <w:tabs>
          <w:tab w:val="left" w:pos="425"/>
        </w:tabs>
        <w:spacing w:line="560" w:lineRule="exact"/>
        <w:ind w:firstLine="600" w:firstLineChars="200"/>
        <w:rPr>
          <w:rFonts w:ascii="仿宋_GB2312" w:hAnsi="仿宋" w:eastAsia="仿宋_GB2312" w:cs="宋体"/>
          <w:b/>
          <w:kern w:val="0"/>
          <w:sz w:val="30"/>
          <w:szCs w:val="30"/>
        </w:rPr>
      </w:pPr>
      <w:r>
        <w:rPr>
          <w:rFonts w:hint="eastAsia" w:ascii="仿宋_GB2312" w:eastAsia="仿宋_GB2312" w:cs="宋体"/>
          <w:sz w:val="30"/>
          <w:szCs w:val="30"/>
        </w:rPr>
        <w:t>3.交货方式：买方自提，提货车辆须满足卖方公司清洁运输的要求，且匹配现场装车条件的车辆，</w:t>
      </w:r>
      <w:r>
        <w:rPr>
          <w:rFonts w:hint="eastAsia" w:ascii="仿宋_GB2312" w:hAnsi="仿宋" w:eastAsia="仿宋_GB2312" w:cs="仿宋_GB2312"/>
          <w:sz w:val="28"/>
          <w:szCs w:val="28"/>
        </w:rPr>
        <w:t>使用符合山东钢铁集团日照有限公司环保要求车辆</w:t>
      </w:r>
      <w:r>
        <w:rPr>
          <w:rFonts w:hint="eastAsia" w:ascii="仿宋_GB2312" w:eastAsia="仿宋_GB2312" w:cs="宋体"/>
          <w:sz w:val="30"/>
          <w:szCs w:val="30"/>
        </w:rPr>
        <w:t>。及时清运，保障生产顺行；进厂车辆须保证水箱无水；</w:t>
      </w:r>
      <w:r>
        <w:rPr>
          <w:rFonts w:hint="eastAsia" w:ascii="仿宋_GB2312" w:hAnsi="仿宋" w:eastAsia="仿宋_GB2312" w:cs="宋体"/>
          <w:b/>
          <w:kern w:val="0"/>
          <w:sz w:val="30"/>
          <w:szCs w:val="30"/>
        </w:rPr>
        <w:t>完成装车立刻出厂，不能在厂内停留；</w:t>
      </w:r>
    </w:p>
    <w:p>
      <w:pPr>
        <w:tabs>
          <w:tab w:val="left" w:pos="425"/>
        </w:tabs>
        <w:spacing w:line="560" w:lineRule="exact"/>
        <w:ind w:firstLine="600" w:firstLineChars="200"/>
        <w:rPr>
          <w:rFonts w:ascii="仿宋_GB2312" w:hAnsi="仿宋" w:eastAsia="仿宋_GB2312" w:cs="宋体"/>
          <w:b/>
          <w:kern w:val="0"/>
          <w:sz w:val="30"/>
          <w:szCs w:val="30"/>
        </w:rPr>
      </w:pPr>
      <w:r>
        <w:rPr>
          <w:rFonts w:hint="eastAsia" w:ascii="仿宋_GB2312" w:hAnsi="仿宋_GB2312" w:eastAsia="仿宋_GB2312" w:cs="仿宋_GB2312"/>
          <w:sz w:val="30"/>
          <w:szCs w:val="30"/>
        </w:rPr>
        <w:t>4.中标单位应当在销售、购买后五日内，通过易制爆危险化学品信息系统，将所销售、购买的易制爆危险化学品的品种、数量以及流向信息报所在地公安机关备案；</w:t>
      </w:r>
    </w:p>
    <w:p>
      <w:pPr>
        <w:widowControl/>
        <w:shd w:val="clear" w:color="auto" w:fill="FFFFFF"/>
        <w:spacing w:line="520" w:lineRule="exact"/>
        <w:ind w:firstLine="600" w:firstLineChars="200"/>
        <w:jc w:val="left"/>
        <w:rPr>
          <w:rFonts w:ascii="仿宋_GB2312" w:hAnsi="仿宋" w:eastAsia="仿宋_GB2312" w:cs="宋体"/>
          <w:kern w:val="0"/>
          <w:sz w:val="30"/>
          <w:szCs w:val="30"/>
        </w:rPr>
      </w:pPr>
      <w:r>
        <w:rPr>
          <w:rFonts w:hint="eastAsia" w:ascii="仿宋_GB2312" w:hAnsi="等线" w:eastAsia="仿宋_GB2312"/>
          <w:bCs/>
          <w:sz w:val="30"/>
          <w:szCs w:val="30"/>
        </w:rPr>
        <w:t>5.</w:t>
      </w:r>
      <w:r>
        <w:rPr>
          <w:rFonts w:hint="eastAsia" w:ascii="仿宋_GB2312" w:hAnsi="仿宋" w:eastAsia="仿宋_GB2312" w:cs="宋体"/>
          <w:kern w:val="0"/>
          <w:sz w:val="30"/>
          <w:szCs w:val="30"/>
        </w:rPr>
        <w:t>报价最高的买方须按照竞卖方要求在规定时间内缴纳标的物总货款的20%作为预付订金，并签订承诺函（详见附件）；</w:t>
      </w:r>
    </w:p>
    <w:p>
      <w:pPr>
        <w:tabs>
          <w:tab w:val="left" w:pos="425"/>
        </w:tabs>
        <w:spacing w:line="560" w:lineRule="exact"/>
        <w:ind w:firstLine="600" w:firstLineChars="200"/>
        <w:rPr>
          <w:rFonts w:ascii="仿宋_GB2312" w:hAnsi="仿宋_GB2312" w:eastAsia="仿宋_GB2312" w:cs="仿宋_GB2312"/>
          <w:sz w:val="30"/>
          <w:szCs w:val="30"/>
          <w:u w:val="single"/>
        </w:rPr>
      </w:pPr>
      <w:r>
        <w:rPr>
          <w:rFonts w:hint="eastAsia" w:ascii="仿宋_GB2312" w:hAnsi="等线" w:eastAsia="仿宋_GB2312"/>
          <w:bCs/>
          <w:sz w:val="30"/>
          <w:szCs w:val="30"/>
        </w:rPr>
        <w:t>6.</w:t>
      </w:r>
      <w:r>
        <w:rPr>
          <w:rFonts w:hint="eastAsia" w:ascii="仿宋_GB2312" w:hAnsi="仿宋_GB2312" w:eastAsia="仿宋_GB2312" w:cs="仿宋_GB2312"/>
          <w:sz w:val="30"/>
          <w:szCs w:val="30"/>
        </w:rPr>
        <w:t>买方接到卖方的成交通知后，</w:t>
      </w:r>
      <w:r>
        <w:rPr>
          <w:rFonts w:hint="eastAsia" w:ascii="仿宋_GB2312" w:hAnsi="等线" w:eastAsia="仿宋_GB2312" w:cs="华文楷体"/>
          <w:sz w:val="30"/>
          <w:szCs w:val="30"/>
        </w:rPr>
        <w:t>按照卖方要求在规定时间内缴纳足额货款，</w:t>
      </w:r>
      <w:r>
        <w:rPr>
          <w:rFonts w:hint="eastAsia" w:ascii="仿宋_GB2312" w:hAnsi="仿宋_GB2312" w:eastAsia="仿宋_GB2312" w:cs="仿宋_GB2312"/>
          <w:sz w:val="30"/>
          <w:szCs w:val="30"/>
        </w:rPr>
        <w:t>并按照卖方实际出库过磅重量多退少补；</w:t>
      </w:r>
    </w:p>
    <w:p>
      <w:pPr>
        <w:tabs>
          <w:tab w:val="left" w:pos="425"/>
        </w:tabs>
        <w:spacing w:line="560" w:lineRule="exact"/>
        <w:ind w:firstLine="600" w:firstLineChars="200"/>
        <w:rPr>
          <w:rFonts w:ascii="仿宋_GB2312" w:hAnsi="仿宋_GB2312" w:eastAsia="仿宋_GB2312" w:cs="仿宋_GB2312"/>
          <w:sz w:val="30"/>
          <w:szCs w:val="30"/>
        </w:rPr>
      </w:pPr>
      <w:r>
        <w:rPr>
          <w:rFonts w:hint="eastAsia" w:ascii="仿宋_GB2312" w:hAnsi="等线" w:eastAsia="仿宋_GB2312"/>
          <w:bCs/>
          <w:sz w:val="30"/>
          <w:szCs w:val="30"/>
        </w:rPr>
        <w:t>7.</w:t>
      </w:r>
      <w:r>
        <w:rPr>
          <w:rFonts w:hint="eastAsia" w:ascii="仿宋_GB2312" w:hAnsi="仿宋_GB2312" w:eastAsia="仿宋_GB2312" w:cs="仿宋_GB2312"/>
          <w:sz w:val="30"/>
          <w:szCs w:val="30"/>
        </w:rPr>
        <w:t>结算方式：按照卖方过磅重量结合成交单价结算；</w:t>
      </w:r>
    </w:p>
    <w:p>
      <w:pPr>
        <w:tabs>
          <w:tab w:val="left" w:pos="425"/>
        </w:tabs>
        <w:spacing w:line="560" w:lineRule="exact"/>
        <w:ind w:firstLine="600" w:firstLineChars="200"/>
        <w:rPr>
          <w:rFonts w:ascii="仿宋_GB2312" w:hAnsi="仿宋" w:eastAsia="仿宋_GB2312" w:cs="宋体"/>
          <w:kern w:val="0"/>
          <w:sz w:val="30"/>
          <w:szCs w:val="30"/>
        </w:rPr>
      </w:pPr>
      <w:r>
        <w:rPr>
          <w:rFonts w:hint="eastAsia" w:ascii="仿宋_GB2312" w:hAnsi="仿宋" w:eastAsia="仿宋_GB2312" w:cs="宋体"/>
          <w:kern w:val="0"/>
          <w:sz w:val="30"/>
          <w:szCs w:val="30"/>
        </w:rPr>
        <w:t>8.报价最高的买方</w:t>
      </w:r>
      <w:r>
        <w:rPr>
          <w:rFonts w:hint="eastAsia" w:ascii="仿宋_GB2312" w:hAnsi="仿宋_GB2312" w:eastAsia="仿宋_GB2312" w:cs="仿宋_GB2312"/>
          <w:sz w:val="30"/>
          <w:szCs w:val="30"/>
        </w:rPr>
        <w:t>反悔或未按要求缴纳预付订金时，此次报价将视为无效报价，并取消此次预中标资格</w:t>
      </w:r>
      <w:r>
        <w:rPr>
          <w:rFonts w:hint="eastAsia" w:ascii="仿宋_GB2312" w:hAnsi="仿宋" w:eastAsia="仿宋_GB2312" w:cs="宋体"/>
          <w:kern w:val="0"/>
          <w:sz w:val="30"/>
          <w:szCs w:val="30"/>
        </w:rPr>
        <w:t>，且6个月内禁止</w:t>
      </w:r>
      <w:r>
        <w:rPr>
          <w:rFonts w:hint="eastAsia" w:ascii="仿宋_GB2312" w:hAnsi="仿宋_GB2312" w:eastAsia="仿宋_GB2312" w:cs="仿宋_GB2312"/>
          <w:sz w:val="30"/>
          <w:szCs w:val="30"/>
        </w:rPr>
        <w:t>参与</w:t>
      </w:r>
      <w:r>
        <w:rPr>
          <w:rFonts w:hint="eastAsia" w:ascii="仿宋_GB2312" w:hAnsi="仿宋" w:eastAsia="仿宋_GB2312" w:cs="宋体"/>
          <w:kern w:val="0"/>
          <w:sz w:val="30"/>
          <w:szCs w:val="30"/>
        </w:rPr>
        <w:t>日照公司</w:t>
      </w:r>
      <w:r>
        <w:rPr>
          <w:rFonts w:hint="eastAsia" w:ascii="仿宋_GB2312" w:hAnsi="仿宋_GB2312" w:eastAsia="仿宋_GB2312" w:cs="仿宋_GB2312"/>
          <w:sz w:val="30"/>
          <w:szCs w:val="30"/>
        </w:rPr>
        <w:t>市场部销售</w:t>
      </w:r>
      <w:r>
        <w:rPr>
          <w:rFonts w:hint="eastAsia" w:ascii="仿宋_GB2312" w:hAnsi="仿宋" w:eastAsia="仿宋_GB2312" w:cs="宋体"/>
          <w:kern w:val="0"/>
          <w:sz w:val="30"/>
          <w:szCs w:val="30"/>
        </w:rPr>
        <w:t>竞卖</w:t>
      </w:r>
      <w:r>
        <w:rPr>
          <w:rFonts w:hint="eastAsia" w:ascii="仿宋_GB2312" w:hAnsi="仿宋_GB2312" w:eastAsia="仿宋_GB2312" w:cs="仿宋_GB2312"/>
          <w:sz w:val="30"/>
          <w:szCs w:val="30"/>
        </w:rPr>
        <w:t>项目</w:t>
      </w:r>
      <w:r>
        <w:rPr>
          <w:rFonts w:hint="eastAsia" w:ascii="仿宋_GB2312" w:hAnsi="仿宋" w:eastAsia="仿宋_GB2312" w:cs="宋体"/>
          <w:kern w:val="0"/>
          <w:sz w:val="30"/>
          <w:szCs w:val="30"/>
        </w:rPr>
        <w:t>；同一买方累计出现两次上述行为的，永久禁止参与公司竞卖和采购项目</w:t>
      </w:r>
      <w:r>
        <w:rPr>
          <w:rFonts w:hint="eastAsia" w:ascii="仿宋_GB2312" w:hAnsi="仿宋_GB2312" w:eastAsia="仿宋_GB2312" w:cs="仿宋_GB2312"/>
          <w:sz w:val="30"/>
          <w:szCs w:val="30"/>
        </w:rPr>
        <w:t>。</w:t>
      </w:r>
    </w:p>
    <w:p>
      <w:pPr>
        <w:tabs>
          <w:tab w:val="left" w:pos="425"/>
        </w:tabs>
        <w:spacing w:line="56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买方缴纳预付订金后，发生下列违约情况（之一）的，</w:t>
      </w:r>
      <w:r>
        <w:rPr>
          <w:rFonts w:hint="eastAsia" w:ascii="仿宋_GB2312" w:hAnsi="仿宋" w:eastAsia="仿宋_GB2312" w:cs="宋体"/>
          <w:kern w:val="0"/>
          <w:sz w:val="30"/>
          <w:szCs w:val="30"/>
        </w:rPr>
        <w:t>12个月内禁止</w:t>
      </w:r>
      <w:r>
        <w:rPr>
          <w:rFonts w:hint="eastAsia" w:ascii="仿宋_GB2312" w:hAnsi="仿宋_GB2312" w:eastAsia="仿宋_GB2312" w:cs="仿宋_GB2312"/>
          <w:sz w:val="30"/>
          <w:szCs w:val="30"/>
        </w:rPr>
        <w:t>参与日照公司市场部销售竞卖项目，并全额扣除买方20%货款；买方缴纳预付订金后，触犯刑法的，</w:t>
      </w:r>
      <w:r>
        <w:rPr>
          <w:rFonts w:hint="eastAsia" w:ascii="仿宋_GB2312" w:hAnsi="仿宋" w:eastAsia="仿宋_GB2312" w:cs="宋体"/>
          <w:kern w:val="0"/>
          <w:sz w:val="30"/>
          <w:szCs w:val="30"/>
        </w:rPr>
        <w:t>将永久取消参与日照公司</w:t>
      </w:r>
      <w:r>
        <w:rPr>
          <w:rFonts w:hint="eastAsia" w:ascii="仿宋_GB2312" w:hAnsi="仿宋_GB2312" w:eastAsia="仿宋_GB2312" w:cs="仿宋_GB2312"/>
          <w:sz w:val="30"/>
          <w:szCs w:val="30"/>
        </w:rPr>
        <w:t>竞卖项目的资格，并扣除买方缴纳的20%货款。因买方原因造成卖方损失和影响的，相应的损失和责任由买方承担。</w:t>
      </w:r>
    </w:p>
    <w:p>
      <w:pPr>
        <w:tabs>
          <w:tab w:val="left" w:pos="425"/>
        </w:tabs>
        <w:spacing w:line="56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违约情况：</w:t>
      </w:r>
    </w:p>
    <w:p>
      <w:pPr>
        <w:tabs>
          <w:tab w:val="left" w:pos="425"/>
        </w:tabs>
        <w:spacing w:line="56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a.买方因自身原因不签署合同的；</w:t>
      </w:r>
    </w:p>
    <w:p>
      <w:pPr>
        <w:tabs>
          <w:tab w:val="left" w:pos="425"/>
        </w:tabs>
        <w:spacing w:line="560" w:lineRule="exact"/>
        <w:ind w:firstLine="600" w:firstLineChars="200"/>
        <w:rPr>
          <w:rFonts w:ascii="仿宋_GB2312" w:hAnsi="仿宋_GB2312" w:eastAsia="仿宋_GB2312" w:cs="仿宋_GB2312"/>
          <w:sz w:val="30"/>
          <w:szCs w:val="30"/>
        </w:rPr>
      </w:pPr>
      <w:r>
        <w:rPr>
          <w:rFonts w:hint="eastAsia" w:ascii="仿宋_GB2312" w:hAnsi="等线" w:eastAsia="仿宋_GB2312" w:cs="华文楷体"/>
          <w:sz w:val="30"/>
          <w:szCs w:val="30"/>
        </w:rPr>
        <w:t>b.未按照卖方要求缴纳货款的；</w:t>
      </w:r>
    </w:p>
    <w:p>
      <w:pPr>
        <w:tabs>
          <w:tab w:val="left" w:pos="425"/>
        </w:tabs>
        <w:spacing w:line="56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c.未按照公告、承诺函、已签订合同约定条款执行的；</w:t>
      </w:r>
    </w:p>
    <w:p>
      <w:pPr>
        <w:tabs>
          <w:tab w:val="left" w:pos="425"/>
        </w:tabs>
        <w:spacing w:line="56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d.在生产、经营、环境、安全等方面给卖方造成损失或不良影响的；</w:t>
      </w:r>
    </w:p>
    <w:p>
      <w:pPr>
        <w:tabs>
          <w:tab w:val="left" w:pos="425"/>
        </w:tabs>
        <w:spacing w:line="560" w:lineRule="exact"/>
        <w:ind w:firstLine="600" w:firstLineChars="200"/>
        <w:rPr>
          <w:rFonts w:ascii="仿宋_GB2312" w:hAnsi="仿宋_GB2312" w:eastAsia="仿宋_GB2312" w:cs="仿宋_GB2312"/>
          <w:sz w:val="30"/>
          <w:szCs w:val="30"/>
        </w:rPr>
      </w:pPr>
      <w:r>
        <w:rPr>
          <w:rFonts w:hint="eastAsia" w:ascii="仿宋_GB2312" w:hAnsi="仿宋" w:eastAsia="仿宋_GB2312" w:cs="宋体"/>
          <w:kern w:val="0"/>
          <w:sz w:val="30"/>
          <w:szCs w:val="30"/>
        </w:rPr>
        <w:t>买方</w:t>
      </w:r>
      <w:r>
        <w:rPr>
          <w:rFonts w:hint="eastAsia" w:ascii="仿宋_GB2312" w:hAnsi="仿宋_GB2312" w:eastAsia="仿宋_GB2312" w:cs="仿宋_GB2312"/>
          <w:sz w:val="30"/>
          <w:szCs w:val="30"/>
        </w:rPr>
        <w:t>发生违约情况时，影响卖方正常生产，为保障生产需求卖方有权终止合同，并重新组织招标。</w:t>
      </w:r>
    </w:p>
    <w:p>
      <w:pPr>
        <w:tabs>
          <w:tab w:val="left" w:pos="425"/>
        </w:tabs>
        <w:spacing w:line="56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在竞卖过程中，出现</w:t>
      </w:r>
      <w:r>
        <w:rPr>
          <w:rFonts w:hint="eastAsia" w:ascii="仿宋_GB2312" w:hAnsi="仿宋" w:eastAsia="仿宋_GB2312" w:cs="宋体"/>
          <w:kern w:val="0"/>
          <w:sz w:val="30"/>
          <w:szCs w:val="30"/>
        </w:rPr>
        <w:t>报价最高的买方悔买时，将按照报价高低顺序，按照最高价格依次询问其他竞买方，直至成交；若均未成交，则此次流标。</w:t>
      </w:r>
    </w:p>
    <w:p>
      <w:pPr>
        <w:spacing w:line="520" w:lineRule="exact"/>
        <w:ind w:firstLine="600" w:firstLineChars="200"/>
        <w:rPr>
          <w:rFonts w:ascii="仿宋_GB2312" w:hAnsi="仿宋" w:eastAsia="仿宋_GB2312" w:cs="宋体"/>
          <w:b/>
          <w:bCs/>
          <w:kern w:val="0"/>
          <w:sz w:val="30"/>
          <w:szCs w:val="30"/>
        </w:rPr>
      </w:pPr>
      <w:r>
        <w:rPr>
          <w:rFonts w:hint="eastAsia" w:ascii="仿宋_GB2312" w:eastAsia="仿宋_GB2312" w:cs="宋体"/>
          <w:sz w:val="30"/>
          <w:szCs w:val="30"/>
        </w:rPr>
        <w:t>9.</w:t>
      </w:r>
      <w:r>
        <w:rPr>
          <w:rFonts w:hint="eastAsia" w:ascii="仿宋_GB2312" w:hAnsi="仿宋" w:eastAsia="仿宋_GB2312" w:cs="宋体"/>
          <w:b/>
          <w:bCs/>
          <w:kern w:val="0"/>
          <w:sz w:val="30"/>
          <w:szCs w:val="30"/>
        </w:rPr>
        <w:t>款项办理账户：</w:t>
      </w:r>
    </w:p>
    <w:p>
      <w:pPr>
        <w:spacing w:line="520" w:lineRule="exact"/>
        <w:ind w:firstLine="900" w:firstLineChars="300"/>
        <w:rPr>
          <w:rFonts w:ascii="仿宋_GB2312" w:hAnsi="仿宋" w:eastAsia="仿宋_GB2312" w:cs="宋体"/>
          <w:kern w:val="0"/>
          <w:sz w:val="30"/>
          <w:szCs w:val="30"/>
        </w:rPr>
      </w:pPr>
      <w:r>
        <w:rPr>
          <w:rFonts w:hint="eastAsia" w:ascii="仿宋_GB2312" w:hAnsi="仿宋" w:eastAsia="仿宋_GB2312" w:cs="宋体"/>
          <w:kern w:val="0"/>
          <w:sz w:val="30"/>
          <w:szCs w:val="30"/>
        </w:rPr>
        <w:t>账户名称：山东钢铁集团日照有限公司</w:t>
      </w:r>
    </w:p>
    <w:p>
      <w:pPr>
        <w:spacing w:line="520" w:lineRule="exact"/>
        <w:ind w:firstLine="900" w:firstLineChars="300"/>
        <w:rPr>
          <w:rFonts w:ascii="仿宋_GB2312" w:hAnsi="仿宋" w:eastAsia="仿宋_GB2312" w:cs="宋体"/>
          <w:kern w:val="0"/>
          <w:sz w:val="30"/>
          <w:szCs w:val="30"/>
        </w:rPr>
      </w:pPr>
      <w:r>
        <w:rPr>
          <w:rFonts w:hint="eastAsia" w:ascii="仿宋_GB2312" w:hAnsi="仿宋" w:eastAsia="仿宋_GB2312" w:cs="宋体"/>
          <w:kern w:val="0"/>
          <w:sz w:val="30"/>
          <w:szCs w:val="30"/>
        </w:rPr>
        <w:t>开 户 行：建设银行股份有限公司日照分行营业部</w:t>
      </w:r>
    </w:p>
    <w:p>
      <w:pPr>
        <w:widowControl/>
        <w:shd w:val="clear" w:color="auto" w:fill="FFFFFF"/>
        <w:spacing w:line="520" w:lineRule="exact"/>
        <w:ind w:firstLine="900" w:firstLineChars="300"/>
        <w:jc w:val="left"/>
        <w:rPr>
          <w:rFonts w:ascii="仿宋_GB2312" w:hAnsi="仿宋" w:eastAsia="仿宋_GB2312" w:cs="宋体"/>
          <w:kern w:val="0"/>
          <w:sz w:val="30"/>
          <w:szCs w:val="30"/>
        </w:rPr>
      </w:pPr>
      <w:r>
        <w:rPr>
          <w:rFonts w:hint="eastAsia" w:ascii="仿宋_GB2312" w:hAnsi="仿宋" w:eastAsia="仿宋_GB2312" w:cs="宋体"/>
          <w:kern w:val="0"/>
          <w:sz w:val="30"/>
          <w:szCs w:val="30"/>
        </w:rPr>
        <w:t>账    号：37050171880800000268</w:t>
      </w:r>
    </w:p>
    <w:p>
      <w:pPr>
        <w:widowControl/>
        <w:shd w:val="clear" w:color="auto" w:fill="FFFFFF"/>
        <w:spacing w:line="520" w:lineRule="exact"/>
        <w:ind w:firstLine="600" w:firstLineChars="200"/>
        <w:jc w:val="left"/>
        <w:rPr>
          <w:rFonts w:ascii="仿宋_GB2312" w:hAnsi="仿宋" w:eastAsia="仿宋_GB2312" w:cs="宋体"/>
          <w:kern w:val="0"/>
          <w:sz w:val="30"/>
          <w:szCs w:val="30"/>
        </w:rPr>
      </w:pPr>
      <w:r>
        <w:rPr>
          <w:rFonts w:hint="eastAsia" w:ascii="仿宋_GB2312" w:eastAsia="仿宋_GB2312" w:cs="宋体"/>
          <w:sz w:val="30"/>
          <w:szCs w:val="30"/>
        </w:rPr>
        <w:t>10.</w:t>
      </w:r>
      <w:r>
        <w:rPr>
          <w:rFonts w:hint="eastAsia" w:ascii="仿宋_GB2312" w:hAnsi="仿宋" w:eastAsia="仿宋_GB2312" w:cs="宋体"/>
          <w:kern w:val="0"/>
          <w:sz w:val="30"/>
          <w:szCs w:val="30"/>
        </w:rPr>
        <w:t>为保护买方权益，</w:t>
      </w:r>
      <w:r>
        <w:rPr>
          <w:rFonts w:hint="eastAsia" w:ascii="仿宋_GB2312" w:hAnsi="等线" w:eastAsia="仿宋_GB2312"/>
          <w:bCs/>
          <w:sz w:val="30"/>
          <w:szCs w:val="30"/>
        </w:rPr>
        <w:t>卖方</w:t>
      </w:r>
      <w:r>
        <w:rPr>
          <w:rFonts w:hint="eastAsia" w:ascii="仿宋_GB2312" w:hAnsi="仿宋" w:eastAsia="仿宋_GB2312" w:cs="宋体"/>
          <w:kern w:val="0"/>
          <w:sz w:val="30"/>
          <w:szCs w:val="30"/>
        </w:rPr>
        <w:t>对买方信息不予公开。对于成交价格，买方可在竞卖结束之日起七个工作日后电话咨询卖方。</w:t>
      </w:r>
    </w:p>
    <w:p>
      <w:pPr>
        <w:spacing w:line="560" w:lineRule="exact"/>
        <w:ind w:firstLine="600" w:firstLineChars="200"/>
        <w:rPr>
          <w:rFonts w:ascii="仿宋_GB2312" w:hAnsi="仿宋_GB2312" w:eastAsia="仿宋_GB2312" w:cs="仿宋_GB2312"/>
          <w:bCs/>
          <w:sz w:val="30"/>
          <w:szCs w:val="30"/>
        </w:rPr>
      </w:pPr>
      <w:r>
        <w:rPr>
          <w:rFonts w:hint="eastAsia" w:ascii="仿宋_GB2312" w:eastAsia="仿宋_GB2312" w:cs="宋体"/>
          <w:sz w:val="30"/>
          <w:szCs w:val="30"/>
        </w:rPr>
        <w:t>11.</w:t>
      </w:r>
      <w:r>
        <w:rPr>
          <w:rFonts w:hint="eastAsia" w:ascii="仿宋_GB2312" w:hAnsi="仿宋_GB2312" w:eastAsia="仿宋_GB2312" w:cs="仿宋_GB2312"/>
          <w:bCs/>
          <w:sz w:val="30"/>
          <w:szCs w:val="30"/>
        </w:rPr>
        <w:t>卖方有权根据报价进行评估，选择如下一种或多种组合处理方式：多轮竞价、分标、重新组织竞卖、流标。</w:t>
      </w:r>
    </w:p>
    <w:p>
      <w:pPr>
        <w:spacing w:line="520" w:lineRule="exact"/>
        <w:ind w:firstLine="602" w:firstLineChars="200"/>
        <w:rPr>
          <w:rFonts w:ascii="仿宋_GB2312" w:hAnsi="仿宋" w:eastAsia="仿宋_GB2312" w:cs="宋体"/>
          <w:b/>
          <w:kern w:val="0"/>
          <w:sz w:val="30"/>
          <w:szCs w:val="30"/>
        </w:rPr>
      </w:pPr>
      <w:r>
        <w:rPr>
          <w:rFonts w:hint="eastAsia" w:ascii="仿宋_GB2312" w:hAnsi="仿宋" w:eastAsia="仿宋_GB2312" w:cs="宋体"/>
          <w:b/>
          <w:kern w:val="0"/>
          <w:sz w:val="30"/>
          <w:szCs w:val="30"/>
        </w:rPr>
        <w:t>四、竞买方式：</w:t>
      </w:r>
    </w:p>
    <w:p>
      <w:pPr>
        <w:spacing w:line="560" w:lineRule="exact"/>
        <w:ind w:firstLine="600" w:firstLineChars="200"/>
        <w:jc w:val="left"/>
        <w:rPr>
          <w:rFonts w:ascii="仿宋_GB2312" w:hAnsi="仿宋" w:eastAsia="仿宋_GB2312" w:cs="宋体"/>
          <w:kern w:val="0"/>
          <w:sz w:val="30"/>
          <w:szCs w:val="30"/>
        </w:rPr>
      </w:pPr>
      <w:r>
        <w:rPr>
          <w:rFonts w:hint="eastAsia" w:ascii="仿宋_GB2312" w:hAnsi="仿宋" w:eastAsia="仿宋_GB2312" w:cs="宋体"/>
          <w:kern w:val="0"/>
          <w:sz w:val="30"/>
          <w:szCs w:val="30"/>
        </w:rPr>
        <w:t>1.时间：网上报价需在</w:t>
      </w:r>
      <w:r>
        <w:rPr>
          <w:rFonts w:hint="eastAsia" w:ascii="仿宋_GB2312" w:hAnsi="仿宋" w:eastAsia="仿宋_GB2312" w:cs="宋体"/>
          <w:color w:val="auto"/>
          <w:kern w:val="0"/>
          <w:sz w:val="30"/>
          <w:szCs w:val="30"/>
        </w:rPr>
        <w:t>2023年</w:t>
      </w:r>
      <w:r>
        <w:rPr>
          <w:rFonts w:hint="eastAsia" w:ascii="仿宋_GB2312" w:hAnsi="仿宋" w:eastAsia="仿宋_GB2312" w:cs="宋体"/>
          <w:color w:val="auto"/>
          <w:kern w:val="0"/>
          <w:sz w:val="30"/>
          <w:szCs w:val="30"/>
          <w:lang w:val="en-US" w:eastAsia="zh-CN"/>
        </w:rPr>
        <w:t>12</w:t>
      </w:r>
      <w:r>
        <w:rPr>
          <w:rFonts w:hint="eastAsia" w:ascii="仿宋_GB2312" w:hAnsi="仿宋" w:eastAsia="仿宋_GB2312" w:cs="宋体"/>
          <w:color w:val="auto"/>
          <w:kern w:val="0"/>
          <w:sz w:val="30"/>
          <w:szCs w:val="30"/>
        </w:rPr>
        <w:t>月</w:t>
      </w:r>
      <w:r>
        <w:rPr>
          <w:rFonts w:hint="eastAsia" w:ascii="仿宋_GB2312" w:hAnsi="仿宋" w:eastAsia="仿宋_GB2312" w:cs="宋体"/>
          <w:color w:val="auto"/>
          <w:kern w:val="0"/>
          <w:sz w:val="30"/>
          <w:szCs w:val="30"/>
          <w:lang w:val="en-US" w:eastAsia="zh-CN"/>
        </w:rPr>
        <w:t>12</w:t>
      </w:r>
      <w:r>
        <w:rPr>
          <w:rFonts w:hint="eastAsia" w:ascii="仿宋_GB2312" w:hAnsi="仿宋" w:eastAsia="仿宋_GB2312" w:cs="宋体"/>
          <w:color w:val="auto"/>
          <w:kern w:val="0"/>
          <w:sz w:val="30"/>
          <w:szCs w:val="30"/>
        </w:rPr>
        <w:t>日上午10:00</w:t>
      </w:r>
      <w:r>
        <w:rPr>
          <w:rFonts w:hint="eastAsia" w:ascii="仿宋_GB2312" w:hAnsi="仿宋" w:eastAsia="仿宋_GB2312" w:cs="宋体"/>
          <w:kern w:val="0"/>
          <w:sz w:val="30"/>
          <w:szCs w:val="30"/>
        </w:rPr>
        <w:t>前提交系统报价单;超过规定时间,系统无法录入报价;</w:t>
      </w:r>
    </w:p>
    <w:p>
      <w:pPr>
        <w:spacing w:line="480" w:lineRule="exact"/>
        <w:ind w:firstLine="600" w:firstLineChars="200"/>
        <w:rPr>
          <w:rFonts w:ascii="仿宋_GB2312" w:hAnsi="仿宋" w:eastAsia="仿宋_GB2312" w:cs="宋体"/>
          <w:kern w:val="0"/>
          <w:sz w:val="30"/>
          <w:szCs w:val="30"/>
        </w:rPr>
      </w:pPr>
      <w:r>
        <w:rPr>
          <w:rFonts w:hint="eastAsia" w:ascii="仿宋_GB2312" w:hAnsi="仿宋" w:eastAsia="仿宋_GB2312" w:cs="宋体"/>
          <w:kern w:val="0"/>
          <w:sz w:val="30"/>
          <w:szCs w:val="30"/>
        </w:rPr>
        <w:t>2.</w:t>
      </w:r>
      <w:r>
        <w:rPr>
          <w:rFonts w:hint="eastAsia" w:ascii="仿宋" w:hAnsi="仿宋" w:eastAsia="仿宋" w:cs="黑体"/>
          <w:sz w:val="28"/>
          <w:szCs w:val="30"/>
        </w:rPr>
        <w:t>竞价规则：按各分包标的物投标报价高低顺序，报价最高的前五名入围，在投标最高报价基础上进行竞价，最终单价最高的竞买方得标；</w:t>
      </w:r>
      <w:r>
        <w:rPr>
          <w:rFonts w:hint="eastAsia" w:ascii="仿宋_GB2312" w:hAnsi="仿宋" w:eastAsia="仿宋_GB2312" w:cs="宋体"/>
          <w:kern w:val="0"/>
          <w:sz w:val="30"/>
          <w:szCs w:val="30"/>
        </w:rPr>
        <w:t>如遇系统问题等异常情况，会根据系统恢复情况延长或者延后开标时，并及时通知参与竞卖客户;</w:t>
      </w:r>
    </w:p>
    <w:p>
      <w:pPr>
        <w:ind w:firstLine="600" w:firstLineChars="200"/>
        <w:rPr>
          <w:rFonts w:ascii="仿宋_GB2312" w:hAnsi="仿宋" w:eastAsia="仿宋_GB2312" w:cs="宋体"/>
          <w:kern w:val="0"/>
          <w:sz w:val="30"/>
          <w:szCs w:val="30"/>
        </w:rPr>
      </w:pPr>
      <w:r>
        <w:rPr>
          <w:rFonts w:hint="eastAsia" w:ascii="仿宋_GB2312" w:hAnsi="仿宋" w:eastAsia="仿宋_GB2312" w:cs="宋体"/>
          <w:kern w:val="0"/>
          <w:sz w:val="30"/>
          <w:szCs w:val="30"/>
        </w:rPr>
        <w:t>3.联系方式</w:t>
      </w:r>
    </w:p>
    <w:p>
      <w:pPr>
        <w:ind w:firstLine="600" w:firstLineChars="200"/>
        <w:rPr>
          <w:rFonts w:ascii="仿宋_GB2312" w:hAnsi="仿宋" w:eastAsia="仿宋_GB2312" w:cs="宋体"/>
          <w:kern w:val="0"/>
          <w:sz w:val="30"/>
          <w:szCs w:val="30"/>
        </w:rPr>
      </w:pPr>
      <w:r>
        <w:rPr>
          <w:rFonts w:hint="eastAsia" w:ascii="仿宋_GB2312" w:hAnsi="仿宋" w:eastAsia="仿宋_GB2312" w:cs="宋体"/>
          <w:kern w:val="0"/>
          <w:sz w:val="30"/>
          <w:szCs w:val="30"/>
        </w:rPr>
        <w:t>网上投标注册有疑问请联系：</w:t>
      </w:r>
    </w:p>
    <w:p>
      <w:pPr>
        <w:ind w:firstLine="900" w:firstLineChars="300"/>
        <w:rPr>
          <w:rFonts w:ascii="仿宋_GB2312" w:hAnsi="仿宋" w:eastAsia="仿宋_GB2312" w:cs="宋体"/>
          <w:kern w:val="0"/>
          <w:sz w:val="30"/>
          <w:szCs w:val="30"/>
        </w:rPr>
      </w:pPr>
      <w:r>
        <w:rPr>
          <w:rFonts w:hint="eastAsia" w:ascii="仿宋_GB2312" w:hAnsi="仿宋" w:eastAsia="仿宋_GB2312" w:cs="宋体"/>
          <w:kern w:val="0"/>
          <w:sz w:val="30"/>
          <w:szCs w:val="30"/>
        </w:rPr>
        <w:t>杨先生  0633-7925506</w:t>
      </w:r>
    </w:p>
    <w:p>
      <w:pPr>
        <w:ind w:firstLine="600" w:firstLineChars="200"/>
        <w:rPr>
          <w:rFonts w:ascii="仿宋_GB2312" w:hAnsi="仿宋" w:eastAsia="仿宋_GB2312" w:cs="宋体"/>
          <w:kern w:val="0"/>
          <w:sz w:val="30"/>
          <w:szCs w:val="30"/>
        </w:rPr>
      </w:pPr>
      <w:r>
        <w:rPr>
          <w:rFonts w:hint="eastAsia" w:ascii="仿宋_GB2312" w:hAnsi="仿宋" w:eastAsia="仿宋_GB2312" w:cs="宋体"/>
          <w:kern w:val="0"/>
          <w:sz w:val="30"/>
          <w:szCs w:val="30"/>
        </w:rPr>
        <w:t>填报价格流程有疑问请联系：</w:t>
      </w:r>
    </w:p>
    <w:p>
      <w:pPr>
        <w:spacing w:line="520" w:lineRule="exact"/>
        <w:ind w:firstLine="900" w:firstLineChars="300"/>
        <w:rPr>
          <w:rFonts w:hint="default" w:ascii="仿宋_GB2312" w:hAnsi="仿宋" w:eastAsia="仿宋_GB2312" w:cs="宋体"/>
          <w:kern w:val="0"/>
          <w:sz w:val="30"/>
          <w:szCs w:val="30"/>
          <w:lang w:val="en-US" w:eastAsia="zh-CN"/>
        </w:rPr>
      </w:pPr>
      <w:r>
        <w:rPr>
          <w:rFonts w:hint="eastAsia" w:ascii="仿宋_GB2312" w:hAnsi="仿宋" w:eastAsia="仿宋_GB2312" w:cs="宋体"/>
          <w:kern w:val="0"/>
          <w:sz w:val="30"/>
          <w:szCs w:val="30"/>
          <w:lang w:val="en-US" w:eastAsia="zh-CN"/>
        </w:rPr>
        <w:t>李</w:t>
      </w:r>
      <w:r>
        <w:rPr>
          <w:rFonts w:hint="eastAsia" w:ascii="仿宋_GB2312" w:hAnsi="仿宋" w:eastAsia="仿宋_GB2312" w:cs="宋体"/>
          <w:kern w:val="0"/>
          <w:sz w:val="30"/>
          <w:szCs w:val="30"/>
        </w:rPr>
        <w:t>先生  0633-7925</w:t>
      </w:r>
      <w:r>
        <w:rPr>
          <w:rFonts w:hint="eastAsia" w:ascii="仿宋_GB2312" w:hAnsi="仿宋" w:eastAsia="仿宋_GB2312" w:cs="宋体"/>
          <w:kern w:val="0"/>
          <w:sz w:val="30"/>
          <w:szCs w:val="30"/>
          <w:lang w:val="en-US" w:eastAsia="zh-CN"/>
        </w:rPr>
        <w:t>586</w:t>
      </w:r>
    </w:p>
    <w:p>
      <w:pPr>
        <w:spacing w:line="520" w:lineRule="exact"/>
        <w:ind w:firstLine="900" w:firstLineChars="300"/>
        <w:rPr>
          <w:rFonts w:ascii="仿宋_GB2312" w:hAnsi="仿宋" w:eastAsia="仿宋_GB2312" w:cs="宋体"/>
          <w:kern w:val="0"/>
          <w:sz w:val="30"/>
          <w:szCs w:val="30"/>
        </w:rPr>
      </w:pPr>
      <w:r>
        <w:rPr>
          <w:rFonts w:hint="eastAsia" w:ascii="仿宋_GB2312" w:hAnsi="仿宋" w:eastAsia="仿宋_GB2312" w:cs="宋体"/>
          <w:kern w:val="0"/>
          <w:sz w:val="30"/>
          <w:szCs w:val="30"/>
        </w:rPr>
        <w:t>附件：承诺函</w:t>
      </w:r>
    </w:p>
    <w:p>
      <w:pPr>
        <w:spacing w:line="520" w:lineRule="exact"/>
        <w:ind w:firstLine="3300" w:firstLineChars="1100"/>
        <w:rPr>
          <w:rFonts w:ascii="仿宋_GB2312" w:hAnsi="仿宋" w:eastAsia="仿宋_GB2312" w:cs="宋体"/>
          <w:kern w:val="0"/>
          <w:sz w:val="30"/>
          <w:szCs w:val="30"/>
        </w:rPr>
      </w:pPr>
      <w:r>
        <w:rPr>
          <w:rFonts w:hint="eastAsia" w:ascii="仿宋_GB2312" w:hAnsi="仿宋" w:eastAsia="仿宋_GB2312" w:cs="宋体"/>
          <w:kern w:val="0"/>
          <w:sz w:val="30"/>
          <w:szCs w:val="30"/>
        </w:rPr>
        <w:t xml:space="preserve"> </w:t>
      </w:r>
    </w:p>
    <w:p>
      <w:pPr>
        <w:spacing w:line="520" w:lineRule="exact"/>
        <w:ind w:firstLine="3300" w:firstLineChars="1100"/>
        <w:rPr>
          <w:rFonts w:ascii="仿宋_GB2312" w:hAnsi="仿宋" w:eastAsia="仿宋_GB2312" w:cs="宋体"/>
          <w:kern w:val="0"/>
          <w:sz w:val="30"/>
          <w:szCs w:val="30"/>
        </w:rPr>
      </w:pPr>
      <w:r>
        <w:rPr>
          <w:rFonts w:hint="eastAsia" w:ascii="仿宋_GB2312" w:hAnsi="仿宋" w:eastAsia="仿宋_GB2312" w:cs="宋体"/>
          <w:kern w:val="0"/>
          <w:sz w:val="30"/>
          <w:szCs w:val="30"/>
        </w:rPr>
        <w:t>山东钢铁集团日照有限公司</w:t>
      </w:r>
    </w:p>
    <w:p>
      <w:pPr>
        <w:spacing w:line="520" w:lineRule="exact"/>
        <w:ind w:right="560" w:firstLine="4050" w:firstLineChars="1350"/>
        <w:rPr>
          <w:rFonts w:ascii="仿宋_GB2312" w:hAnsi="仿宋" w:eastAsia="仿宋_GB2312" w:cs="宋体"/>
          <w:color w:val="auto"/>
          <w:kern w:val="0"/>
          <w:sz w:val="30"/>
          <w:szCs w:val="30"/>
        </w:rPr>
      </w:pPr>
      <w:r>
        <w:rPr>
          <w:rFonts w:hint="eastAsia" w:ascii="仿宋_GB2312" w:hAnsi="仿宋" w:eastAsia="仿宋_GB2312" w:cs="宋体"/>
          <w:color w:val="auto"/>
          <w:kern w:val="0"/>
          <w:sz w:val="30"/>
          <w:szCs w:val="30"/>
        </w:rPr>
        <w:t>2023年1</w:t>
      </w:r>
      <w:r>
        <w:rPr>
          <w:rFonts w:hint="eastAsia" w:ascii="仿宋_GB2312" w:hAnsi="仿宋" w:eastAsia="仿宋_GB2312" w:cs="宋体"/>
          <w:color w:val="auto"/>
          <w:kern w:val="0"/>
          <w:sz w:val="30"/>
          <w:szCs w:val="30"/>
          <w:lang w:val="en-US" w:eastAsia="zh-CN"/>
        </w:rPr>
        <w:t>2</w:t>
      </w:r>
      <w:r>
        <w:rPr>
          <w:rFonts w:hint="eastAsia" w:ascii="仿宋_GB2312" w:hAnsi="仿宋" w:eastAsia="仿宋_GB2312" w:cs="宋体"/>
          <w:color w:val="auto"/>
          <w:kern w:val="0"/>
          <w:sz w:val="30"/>
          <w:szCs w:val="30"/>
        </w:rPr>
        <w:t>月</w:t>
      </w:r>
      <w:r>
        <w:rPr>
          <w:rFonts w:hint="eastAsia" w:ascii="仿宋_GB2312" w:hAnsi="仿宋" w:eastAsia="仿宋_GB2312" w:cs="宋体"/>
          <w:color w:val="auto"/>
          <w:kern w:val="0"/>
          <w:sz w:val="30"/>
          <w:szCs w:val="30"/>
          <w:lang w:val="en-US" w:eastAsia="zh-CN"/>
        </w:rPr>
        <w:t>06</w:t>
      </w:r>
      <w:r>
        <w:rPr>
          <w:rFonts w:hint="eastAsia" w:ascii="仿宋_GB2312" w:hAnsi="仿宋" w:eastAsia="仿宋_GB2312" w:cs="宋体"/>
          <w:color w:val="auto"/>
          <w:kern w:val="0"/>
          <w:sz w:val="30"/>
          <w:szCs w:val="30"/>
        </w:rPr>
        <w:t>日</w:t>
      </w: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p>
    <w:p>
      <w:pPr>
        <w:pStyle w:val="4"/>
        <w:pBdr>
          <w:bottom w:val="none" w:color="auto" w:sz="0" w:space="0"/>
        </w:pBdr>
        <w:jc w:val="both"/>
        <w:rPr>
          <w:rFonts w:eastAsia="隶书"/>
          <w:spacing w:val="8"/>
          <w:sz w:val="32"/>
        </w:rPr>
      </w:pPr>
      <w:r>
        <w:rPr>
          <w:rFonts w:hint="eastAsia" w:eastAsia="隶书"/>
          <w:spacing w:val="8"/>
          <w:sz w:val="32"/>
        </w:rPr>
        <w:t>附件：</w:t>
      </w:r>
    </w:p>
    <w:p>
      <w:pPr>
        <w:spacing w:line="560" w:lineRule="exact"/>
        <w:jc w:val="center"/>
        <w:rPr>
          <w:rFonts w:ascii="方正小标宋简体" w:eastAsia="方正小标宋简体"/>
          <w:sz w:val="44"/>
          <w:szCs w:val="44"/>
        </w:rPr>
      </w:pPr>
      <w:r>
        <w:rPr>
          <w:rFonts w:hint="eastAsia" w:ascii="方正小标宋简体" w:eastAsia="方正小标宋简体"/>
          <w:sz w:val="44"/>
          <w:szCs w:val="44"/>
        </w:rPr>
        <w:t>承诺函</w:t>
      </w:r>
    </w:p>
    <w:p>
      <w:pPr>
        <w:tabs>
          <w:tab w:val="left" w:pos="425"/>
        </w:tabs>
        <w:spacing w:line="560" w:lineRule="exact"/>
        <w:ind w:firstLine="560" w:firstLineChars="200"/>
        <w:rPr>
          <w:rFonts w:ascii="仿宋_GB2312" w:hAnsi="仿宋" w:eastAsia="仿宋_GB2312" w:cs="仿宋_GB2312"/>
          <w:sz w:val="28"/>
          <w:szCs w:val="28"/>
          <w:u w:val="single"/>
        </w:rPr>
      </w:pPr>
      <w:r>
        <w:rPr>
          <w:rFonts w:hint="eastAsia" w:ascii="仿宋_GB2312" w:hAnsi="仿宋" w:eastAsia="仿宋_GB2312" w:cs="仿宋_GB2312"/>
          <w:color w:val="auto"/>
          <w:sz w:val="28"/>
          <w:szCs w:val="28"/>
        </w:rPr>
        <w:t>按照山东钢铁集团日照有限公司《山东钢铁集团日照有限公司硫磺（</w:t>
      </w:r>
      <w:r>
        <w:rPr>
          <w:rFonts w:hint="eastAsia" w:ascii="仿宋_GB2312" w:hAnsi="仿宋" w:eastAsia="仿宋_GB2312" w:cs="仿宋_GB2312"/>
          <w:color w:val="auto"/>
          <w:sz w:val="28"/>
          <w:szCs w:val="28"/>
          <w:lang w:eastAsia="zh-CN"/>
        </w:rPr>
        <w:t>2023年第四十</w:t>
      </w:r>
      <w:r>
        <w:rPr>
          <w:rFonts w:hint="eastAsia" w:ascii="仿宋_GB2312" w:hAnsi="仿宋" w:eastAsia="仿宋_GB2312" w:cs="仿宋_GB2312"/>
          <w:color w:val="auto"/>
          <w:sz w:val="28"/>
          <w:szCs w:val="28"/>
          <w:lang w:val="en-US" w:eastAsia="zh-CN"/>
        </w:rPr>
        <w:t>七</w:t>
      </w:r>
      <w:bookmarkStart w:id="0" w:name="_GoBack"/>
      <w:bookmarkEnd w:id="0"/>
      <w:r>
        <w:rPr>
          <w:rFonts w:hint="eastAsia" w:ascii="仿宋_GB2312" w:hAnsi="仿宋" w:eastAsia="仿宋_GB2312" w:cs="仿宋_GB2312"/>
          <w:color w:val="auto"/>
          <w:sz w:val="28"/>
          <w:szCs w:val="28"/>
          <w:lang w:eastAsia="zh-CN"/>
        </w:rPr>
        <w:t>批</w:t>
      </w:r>
      <w:r>
        <w:rPr>
          <w:rFonts w:hint="eastAsia" w:ascii="仿宋_GB2312" w:hAnsi="仿宋" w:eastAsia="仿宋_GB2312" w:cs="仿宋_GB2312"/>
          <w:color w:val="auto"/>
          <w:sz w:val="28"/>
          <w:szCs w:val="28"/>
        </w:rPr>
        <w:t>）竞卖公告</w:t>
      </w:r>
      <w:r>
        <w:rPr>
          <w:rFonts w:hint="eastAsia" w:ascii="仿宋_GB2312" w:hAnsi="仿宋" w:eastAsia="仿宋_GB2312" w:cs="仿宋_GB2312"/>
          <w:sz w:val="28"/>
          <w:szCs w:val="28"/>
        </w:rPr>
        <w:t>》的要求，</w:t>
      </w:r>
      <w:r>
        <w:rPr>
          <w:rFonts w:hint="eastAsia" w:ascii="仿宋_GB2312" w:hAnsi="仿宋" w:eastAsia="仿宋_GB2312" w:cs="仿宋_GB2312"/>
          <w:sz w:val="28"/>
          <w:szCs w:val="28"/>
          <w:u w:val="single"/>
        </w:rPr>
        <w:t xml:space="preserve">                 </w:t>
      </w:r>
    </w:p>
    <w:p>
      <w:pPr>
        <w:tabs>
          <w:tab w:val="left" w:pos="425"/>
        </w:tabs>
        <w:spacing w:line="560" w:lineRule="exact"/>
        <w:jc w:val="left"/>
        <w:rPr>
          <w:rFonts w:ascii="仿宋_GB2312" w:hAnsi="仿宋" w:eastAsia="仿宋_GB2312" w:cs="仿宋_GB2312"/>
          <w:sz w:val="28"/>
          <w:szCs w:val="28"/>
        </w:rPr>
      </w:pP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公司（以下称：我司）已对现场进行了踏勘，认同货品的品质及现场装车条件。</w:t>
      </w:r>
    </w:p>
    <w:p>
      <w:pPr>
        <w:tabs>
          <w:tab w:val="left" w:pos="425"/>
        </w:tabs>
        <w:spacing w:line="560" w:lineRule="exact"/>
        <w:ind w:firstLine="560" w:firstLineChars="200"/>
        <w:rPr>
          <w:rFonts w:ascii="仿宋_GB2312" w:hAnsi="仿宋" w:eastAsia="仿宋_GB2312" w:cs="仿宋_GB2312"/>
          <w:sz w:val="28"/>
          <w:szCs w:val="28"/>
        </w:rPr>
      </w:pPr>
      <w:r>
        <w:rPr>
          <w:rFonts w:hint="eastAsia" w:ascii="仿宋_GB2312" w:hAnsi="仿宋" w:eastAsia="仿宋_GB2312" w:cs="仿宋_GB2312"/>
          <w:sz w:val="28"/>
          <w:szCs w:val="28"/>
        </w:rPr>
        <w:t>我司承诺：确认2023年</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月</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日</w:t>
      </w:r>
      <w:r>
        <w:rPr>
          <w:rFonts w:hint="eastAsia" w:ascii="仿宋_GB2312" w:hAnsi="仿宋" w:eastAsia="仿宋_GB2312" w:cs="仿宋_GB2312"/>
          <w:sz w:val="28"/>
          <w:szCs w:val="28"/>
          <w:u w:val="single"/>
        </w:rPr>
        <w:t xml:space="preserve">       </w:t>
      </w:r>
      <w:r>
        <w:rPr>
          <w:rFonts w:hint="eastAsia" w:ascii="仿宋_GB2312" w:hAnsi="仿宋" w:eastAsia="仿宋_GB2312" w:cs="仿宋_GB2312"/>
          <w:sz w:val="28"/>
          <w:szCs w:val="28"/>
        </w:rPr>
        <w:t>元/吨的报价，上述报价为含税（13%）人民币现汇出厂价格。认同竞卖公告中的所有条款，货品运输使用符合山东钢铁集团日照有限公司环保要求车辆；匹配现场装车设备及停车空间的车辆，进行标的物的运输。运输过程中禁止扬尘，车辆过磅禁止水箱有水，皮重有变化须进厂前提前报备，过磅称重时只有司机在车上，严格按照运输路线行驶，装货完成后第一时间退卡出厂，必须按照生产需求及时派车外运。</w:t>
      </w:r>
    </w:p>
    <w:p>
      <w:pPr>
        <w:tabs>
          <w:tab w:val="left" w:pos="425"/>
        </w:tabs>
        <w:spacing w:line="560" w:lineRule="exact"/>
        <w:ind w:firstLine="560" w:firstLineChars="200"/>
        <w:rPr>
          <w:rFonts w:ascii="仿宋_GB2312" w:hAnsi="仿宋" w:eastAsia="仿宋_GB2312" w:cs="仿宋_GB2312"/>
          <w:sz w:val="28"/>
          <w:szCs w:val="28"/>
        </w:rPr>
      </w:pPr>
      <w:r>
        <w:rPr>
          <w:rFonts w:hint="eastAsia" w:ascii="仿宋_GB2312" w:hAnsi="仿宋" w:eastAsia="仿宋_GB2312" w:cs="仿宋_GB2312"/>
          <w:sz w:val="28"/>
          <w:szCs w:val="28"/>
        </w:rPr>
        <w:t>提货人员进出现场须听从现场人员指挥，劳保护品穿戴齐全，做好安全防护，在有日照公司现场人员的监护下进行装车作业；</w:t>
      </w:r>
    </w:p>
    <w:p>
      <w:pPr>
        <w:tabs>
          <w:tab w:val="left" w:pos="425"/>
        </w:tabs>
        <w:spacing w:line="560" w:lineRule="exact"/>
        <w:ind w:firstLine="560" w:firstLineChars="200"/>
        <w:rPr>
          <w:rFonts w:ascii="仿宋_GB2312" w:hAnsi="仿宋" w:eastAsia="仿宋_GB2312" w:cs="仿宋_GB2312"/>
          <w:sz w:val="28"/>
          <w:szCs w:val="28"/>
        </w:rPr>
      </w:pPr>
      <w:r>
        <w:rPr>
          <w:rFonts w:hint="eastAsia" w:ascii="仿宋_GB2312" w:hAnsi="仿宋" w:eastAsia="仿宋_GB2312" w:cs="仿宋_GB2312"/>
          <w:sz w:val="28"/>
          <w:szCs w:val="28"/>
        </w:rPr>
        <w:t xml:space="preserve">我司同意按照竞卖公告中的要求及上述承诺，承担相应的责任。如我司不按时签署合同，缴纳所需款项，违反竞拍公告及已签订合同中的条款，都将按照违约予以处理，并全额扣除20000元保证金。 </w:t>
      </w:r>
    </w:p>
    <w:p>
      <w:pPr>
        <w:pStyle w:val="17"/>
        <w:ind w:left="0" w:leftChars="0" w:firstLine="0"/>
        <w:jc w:val="both"/>
        <w:rPr>
          <w:rFonts w:ascii="仿宋_GB2312" w:hAnsi="仿宋_GB2312" w:eastAsia="仿宋_GB2312" w:cs="仿宋_GB2312"/>
          <w:b w:val="0"/>
          <w:sz w:val="30"/>
          <w:szCs w:val="30"/>
        </w:rPr>
      </w:pPr>
    </w:p>
    <w:p>
      <w:pPr>
        <w:pStyle w:val="17"/>
        <w:ind w:firstLine="3900" w:firstLineChars="1300"/>
        <w:jc w:val="both"/>
        <w:rPr>
          <w:rFonts w:ascii="仿宋_GB2312" w:hAnsi="仿宋_GB2312" w:eastAsia="仿宋_GB2312" w:cs="仿宋_GB2312"/>
          <w:b w:val="0"/>
          <w:sz w:val="30"/>
          <w:szCs w:val="30"/>
        </w:rPr>
      </w:pPr>
    </w:p>
    <w:p>
      <w:pPr>
        <w:pStyle w:val="17"/>
        <w:ind w:firstLine="3900" w:firstLineChars="1300"/>
        <w:jc w:val="both"/>
        <w:rPr>
          <w:rFonts w:ascii="仿宋_GB2312" w:hAnsi="仿宋_GB2312" w:eastAsia="仿宋_GB2312" w:cs="仿宋_GB2312"/>
          <w:b w:val="0"/>
          <w:sz w:val="30"/>
          <w:szCs w:val="30"/>
        </w:rPr>
      </w:pPr>
      <w:r>
        <w:rPr>
          <w:rFonts w:hint="eastAsia" w:ascii="仿宋_GB2312" w:hAnsi="仿宋_GB2312" w:eastAsia="仿宋_GB2312" w:cs="仿宋_GB2312"/>
          <w:b w:val="0"/>
          <w:sz w:val="30"/>
          <w:szCs w:val="30"/>
        </w:rPr>
        <w:t>单位（公章）</w:t>
      </w:r>
    </w:p>
    <w:p>
      <w:pPr>
        <w:pStyle w:val="17"/>
        <w:ind w:left="0" w:leftChars="0" w:firstLine="539"/>
        <w:jc w:val="both"/>
        <w:rPr>
          <w:rFonts w:ascii="仿宋_GB2312" w:hAnsi="仿宋_GB2312" w:eastAsia="仿宋_GB2312" w:cs="仿宋_GB2312"/>
          <w:b w:val="0"/>
          <w:sz w:val="30"/>
          <w:szCs w:val="30"/>
        </w:rPr>
      </w:pPr>
      <w:r>
        <w:rPr>
          <w:rFonts w:hint="eastAsia" w:ascii="仿宋_GB2312" w:hAnsi="仿宋_GB2312" w:eastAsia="仿宋_GB2312" w:cs="仿宋_GB2312"/>
          <w:b w:val="0"/>
          <w:sz w:val="30"/>
          <w:szCs w:val="30"/>
        </w:rPr>
        <w:t xml:space="preserve">                                           </w:t>
      </w:r>
    </w:p>
    <w:p>
      <w:pPr>
        <w:pStyle w:val="17"/>
        <w:ind w:left="0" w:leftChars="0" w:firstLine="3600" w:firstLineChars="1200"/>
        <w:jc w:val="both"/>
        <w:rPr>
          <w:rFonts w:ascii="仿宋_GB2312" w:hAnsi="仿宋" w:eastAsia="仿宋_GB2312"/>
          <w:kern w:val="0"/>
          <w:sz w:val="30"/>
          <w:szCs w:val="30"/>
        </w:rPr>
      </w:pPr>
      <w:r>
        <w:rPr>
          <w:rFonts w:hint="eastAsia" w:ascii="仿宋_GB2312" w:hAnsi="仿宋_GB2312" w:eastAsia="仿宋_GB2312" w:cs="仿宋_GB2312"/>
          <w:b w:val="0"/>
          <w:sz w:val="30"/>
          <w:szCs w:val="30"/>
        </w:rPr>
        <w:t xml:space="preserve">日期：     年   月   日 </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华文楷体">
    <w:altName w:val="宋体"/>
    <w:panose1 w:val="02010600040101010101"/>
    <w:charset w:val="86"/>
    <w:family w:val="auto"/>
    <w:pitch w:val="default"/>
    <w:sig w:usb0="00000000" w:usb1="00000000" w:usb2="00000010" w:usb3="00000000" w:csb0="0004009F" w:csb1="00000000"/>
  </w:font>
  <w:font w:name="隶书">
    <w:altName w:val="微软雅黑"/>
    <w:panose1 w:val="0201050906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简体">
    <w:altName w:val="黑体"/>
    <w:panose1 w:val="03000509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1</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5</w:t>
    </w:r>
    <w:r>
      <w:rPr>
        <w:szCs w:val="21"/>
      </w:rPr>
      <w:fldChar w:fldCharType="end"/>
    </w:r>
    <w:r>
      <w:rPr>
        <w:rFonts w:hint="eastAsia"/>
        <w:szCs w:val="21"/>
      </w:rPr>
      <w:t xml:space="preserve"> 页</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I5Y2FmZGVmZWIyYTZhZjc1OGIyMjk1ZGQ3YmM4YTQifQ=="/>
  </w:docVars>
  <w:rsids>
    <w:rsidRoot w:val="00243889"/>
    <w:rsid w:val="00011554"/>
    <w:rsid w:val="00022283"/>
    <w:rsid w:val="00022E8C"/>
    <w:rsid w:val="0002724E"/>
    <w:rsid w:val="000300D6"/>
    <w:rsid w:val="00032BCA"/>
    <w:rsid w:val="000333D0"/>
    <w:rsid w:val="00037E6D"/>
    <w:rsid w:val="00042CC1"/>
    <w:rsid w:val="0004702B"/>
    <w:rsid w:val="000639A2"/>
    <w:rsid w:val="00071367"/>
    <w:rsid w:val="000737ED"/>
    <w:rsid w:val="0009345A"/>
    <w:rsid w:val="000C0DA8"/>
    <w:rsid w:val="000C3594"/>
    <w:rsid w:val="000D1D49"/>
    <w:rsid w:val="000D409B"/>
    <w:rsid w:val="000E089C"/>
    <w:rsid w:val="000E2CD0"/>
    <w:rsid w:val="000F22C4"/>
    <w:rsid w:val="000F65DA"/>
    <w:rsid w:val="00102E7C"/>
    <w:rsid w:val="00103051"/>
    <w:rsid w:val="00107127"/>
    <w:rsid w:val="001143D7"/>
    <w:rsid w:val="00122553"/>
    <w:rsid w:val="0012452B"/>
    <w:rsid w:val="00135716"/>
    <w:rsid w:val="0014197B"/>
    <w:rsid w:val="00150592"/>
    <w:rsid w:val="0015105C"/>
    <w:rsid w:val="0015361A"/>
    <w:rsid w:val="00153EA4"/>
    <w:rsid w:val="00156DB1"/>
    <w:rsid w:val="001636AD"/>
    <w:rsid w:val="0018130B"/>
    <w:rsid w:val="00191B15"/>
    <w:rsid w:val="001A00B9"/>
    <w:rsid w:val="001A084D"/>
    <w:rsid w:val="001B49E3"/>
    <w:rsid w:val="001C7C05"/>
    <w:rsid w:val="001D484D"/>
    <w:rsid w:val="001E7CFC"/>
    <w:rsid w:val="001F3E1C"/>
    <w:rsid w:val="001F4E04"/>
    <w:rsid w:val="00201378"/>
    <w:rsid w:val="00201745"/>
    <w:rsid w:val="00207885"/>
    <w:rsid w:val="00217832"/>
    <w:rsid w:val="00217C32"/>
    <w:rsid w:val="00217C89"/>
    <w:rsid w:val="00221BD3"/>
    <w:rsid w:val="0022289C"/>
    <w:rsid w:val="00226F08"/>
    <w:rsid w:val="002303BC"/>
    <w:rsid w:val="00237093"/>
    <w:rsid w:val="00243889"/>
    <w:rsid w:val="0024668A"/>
    <w:rsid w:val="002616CD"/>
    <w:rsid w:val="00266C8A"/>
    <w:rsid w:val="00271FAE"/>
    <w:rsid w:val="00281873"/>
    <w:rsid w:val="0029076E"/>
    <w:rsid w:val="002A6691"/>
    <w:rsid w:val="002B11C7"/>
    <w:rsid w:val="002B47F4"/>
    <w:rsid w:val="002B4C4E"/>
    <w:rsid w:val="002C172C"/>
    <w:rsid w:val="002C23AD"/>
    <w:rsid w:val="002C28D0"/>
    <w:rsid w:val="002C74D4"/>
    <w:rsid w:val="002F467F"/>
    <w:rsid w:val="002F533E"/>
    <w:rsid w:val="002F6942"/>
    <w:rsid w:val="002F70F6"/>
    <w:rsid w:val="003017DD"/>
    <w:rsid w:val="00311811"/>
    <w:rsid w:val="00325E23"/>
    <w:rsid w:val="00326FB3"/>
    <w:rsid w:val="00330B88"/>
    <w:rsid w:val="00330F9C"/>
    <w:rsid w:val="0033365D"/>
    <w:rsid w:val="00345EC4"/>
    <w:rsid w:val="0035035C"/>
    <w:rsid w:val="003509FE"/>
    <w:rsid w:val="003521BB"/>
    <w:rsid w:val="0035307D"/>
    <w:rsid w:val="00363507"/>
    <w:rsid w:val="0036641E"/>
    <w:rsid w:val="00391FD3"/>
    <w:rsid w:val="00394CB9"/>
    <w:rsid w:val="00397C9C"/>
    <w:rsid w:val="003A1FB2"/>
    <w:rsid w:val="003A7D97"/>
    <w:rsid w:val="003B07CB"/>
    <w:rsid w:val="003B472F"/>
    <w:rsid w:val="003B50A6"/>
    <w:rsid w:val="003B666F"/>
    <w:rsid w:val="003E2D98"/>
    <w:rsid w:val="0040204E"/>
    <w:rsid w:val="00403DF4"/>
    <w:rsid w:val="00411363"/>
    <w:rsid w:val="00421712"/>
    <w:rsid w:val="00424B38"/>
    <w:rsid w:val="004337EA"/>
    <w:rsid w:val="0044132C"/>
    <w:rsid w:val="00442903"/>
    <w:rsid w:val="00443641"/>
    <w:rsid w:val="00445FF2"/>
    <w:rsid w:val="004473A4"/>
    <w:rsid w:val="00451A6D"/>
    <w:rsid w:val="00452884"/>
    <w:rsid w:val="00465C24"/>
    <w:rsid w:val="004763E5"/>
    <w:rsid w:val="004A2AB1"/>
    <w:rsid w:val="004B189D"/>
    <w:rsid w:val="004B47DF"/>
    <w:rsid w:val="004B7164"/>
    <w:rsid w:val="004C1E91"/>
    <w:rsid w:val="004C289B"/>
    <w:rsid w:val="004C6A98"/>
    <w:rsid w:val="004E1A45"/>
    <w:rsid w:val="004E27F2"/>
    <w:rsid w:val="004E2C67"/>
    <w:rsid w:val="004E462F"/>
    <w:rsid w:val="004E751C"/>
    <w:rsid w:val="004F05AD"/>
    <w:rsid w:val="004F09B6"/>
    <w:rsid w:val="004F3DBC"/>
    <w:rsid w:val="004F7D78"/>
    <w:rsid w:val="0050100C"/>
    <w:rsid w:val="005037A2"/>
    <w:rsid w:val="00515D5C"/>
    <w:rsid w:val="00515FC1"/>
    <w:rsid w:val="00517943"/>
    <w:rsid w:val="00517C79"/>
    <w:rsid w:val="005544E3"/>
    <w:rsid w:val="00567C13"/>
    <w:rsid w:val="005700AE"/>
    <w:rsid w:val="005842F1"/>
    <w:rsid w:val="00590806"/>
    <w:rsid w:val="005968BE"/>
    <w:rsid w:val="005A4FC0"/>
    <w:rsid w:val="005A7A9D"/>
    <w:rsid w:val="005B188B"/>
    <w:rsid w:val="005C2B39"/>
    <w:rsid w:val="005D3527"/>
    <w:rsid w:val="005D46C9"/>
    <w:rsid w:val="005D6EF2"/>
    <w:rsid w:val="005D7941"/>
    <w:rsid w:val="005E158F"/>
    <w:rsid w:val="005E171B"/>
    <w:rsid w:val="005F0F2F"/>
    <w:rsid w:val="005F1683"/>
    <w:rsid w:val="005F73C1"/>
    <w:rsid w:val="005F7A35"/>
    <w:rsid w:val="00625ED6"/>
    <w:rsid w:val="0064255E"/>
    <w:rsid w:val="00653895"/>
    <w:rsid w:val="006610CE"/>
    <w:rsid w:val="00661CE1"/>
    <w:rsid w:val="0066618C"/>
    <w:rsid w:val="00685C3B"/>
    <w:rsid w:val="00685CB1"/>
    <w:rsid w:val="00693F28"/>
    <w:rsid w:val="006A29F5"/>
    <w:rsid w:val="006A5FBE"/>
    <w:rsid w:val="006B1C36"/>
    <w:rsid w:val="006C0736"/>
    <w:rsid w:val="006C2AA6"/>
    <w:rsid w:val="006C4C25"/>
    <w:rsid w:val="006F6113"/>
    <w:rsid w:val="006F695F"/>
    <w:rsid w:val="006F6BB4"/>
    <w:rsid w:val="007050D1"/>
    <w:rsid w:val="0071138C"/>
    <w:rsid w:val="00722D52"/>
    <w:rsid w:val="00726A91"/>
    <w:rsid w:val="00727866"/>
    <w:rsid w:val="00740D52"/>
    <w:rsid w:val="00753B98"/>
    <w:rsid w:val="007552A5"/>
    <w:rsid w:val="00770709"/>
    <w:rsid w:val="00775BAC"/>
    <w:rsid w:val="007C1588"/>
    <w:rsid w:val="007C3858"/>
    <w:rsid w:val="007C41CD"/>
    <w:rsid w:val="007C54B8"/>
    <w:rsid w:val="007C6357"/>
    <w:rsid w:val="007C6C9B"/>
    <w:rsid w:val="007E78B3"/>
    <w:rsid w:val="007F1111"/>
    <w:rsid w:val="00804C9B"/>
    <w:rsid w:val="00804F4B"/>
    <w:rsid w:val="0080543D"/>
    <w:rsid w:val="0080567C"/>
    <w:rsid w:val="0081135A"/>
    <w:rsid w:val="0081728C"/>
    <w:rsid w:val="0083583E"/>
    <w:rsid w:val="00854C90"/>
    <w:rsid w:val="0085611E"/>
    <w:rsid w:val="00873C37"/>
    <w:rsid w:val="008822EA"/>
    <w:rsid w:val="00882471"/>
    <w:rsid w:val="008850DB"/>
    <w:rsid w:val="00885F4F"/>
    <w:rsid w:val="00891871"/>
    <w:rsid w:val="008A77A8"/>
    <w:rsid w:val="008B4F77"/>
    <w:rsid w:val="008C7F7D"/>
    <w:rsid w:val="008D28A1"/>
    <w:rsid w:val="008E040D"/>
    <w:rsid w:val="008E59E5"/>
    <w:rsid w:val="008F49E9"/>
    <w:rsid w:val="008F4B34"/>
    <w:rsid w:val="0090060E"/>
    <w:rsid w:val="00907D23"/>
    <w:rsid w:val="0091758C"/>
    <w:rsid w:val="0092170A"/>
    <w:rsid w:val="00921760"/>
    <w:rsid w:val="009368D4"/>
    <w:rsid w:val="00941005"/>
    <w:rsid w:val="00944555"/>
    <w:rsid w:val="00947E36"/>
    <w:rsid w:val="00957626"/>
    <w:rsid w:val="009619EF"/>
    <w:rsid w:val="00967401"/>
    <w:rsid w:val="00972543"/>
    <w:rsid w:val="009777CC"/>
    <w:rsid w:val="00982295"/>
    <w:rsid w:val="009834F6"/>
    <w:rsid w:val="00987F2A"/>
    <w:rsid w:val="00990AD2"/>
    <w:rsid w:val="009A24A9"/>
    <w:rsid w:val="009A3DE1"/>
    <w:rsid w:val="009C1C61"/>
    <w:rsid w:val="009C3631"/>
    <w:rsid w:val="009D3059"/>
    <w:rsid w:val="009D4F3B"/>
    <w:rsid w:val="009D64A4"/>
    <w:rsid w:val="009E7D1C"/>
    <w:rsid w:val="009F54E0"/>
    <w:rsid w:val="00A04773"/>
    <w:rsid w:val="00A07AF2"/>
    <w:rsid w:val="00A15956"/>
    <w:rsid w:val="00A1776B"/>
    <w:rsid w:val="00A20511"/>
    <w:rsid w:val="00A21546"/>
    <w:rsid w:val="00A269DE"/>
    <w:rsid w:val="00A316E9"/>
    <w:rsid w:val="00A324A5"/>
    <w:rsid w:val="00A32F03"/>
    <w:rsid w:val="00A41E9F"/>
    <w:rsid w:val="00A41F9A"/>
    <w:rsid w:val="00A42B46"/>
    <w:rsid w:val="00A43635"/>
    <w:rsid w:val="00A54C54"/>
    <w:rsid w:val="00A800E2"/>
    <w:rsid w:val="00A92686"/>
    <w:rsid w:val="00A9595E"/>
    <w:rsid w:val="00A964E1"/>
    <w:rsid w:val="00AA11A5"/>
    <w:rsid w:val="00AA14D2"/>
    <w:rsid w:val="00AA348B"/>
    <w:rsid w:val="00AB0CFF"/>
    <w:rsid w:val="00AB41CB"/>
    <w:rsid w:val="00AC3A4F"/>
    <w:rsid w:val="00AC788C"/>
    <w:rsid w:val="00AC7A6D"/>
    <w:rsid w:val="00AD60DD"/>
    <w:rsid w:val="00AD77FC"/>
    <w:rsid w:val="00AD7D37"/>
    <w:rsid w:val="00AF7F9B"/>
    <w:rsid w:val="00B03F0D"/>
    <w:rsid w:val="00B23B76"/>
    <w:rsid w:val="00B23CF2"/>
    <w:rsid w:val="00B4532B"/>
    <w:rsid w:val="00B464CB"/>
    <w:rsid w:val="00B46DF7"/>
    <w:rsid w:val="00B506ED"/>
    <w:rsid w:val="00B5735D"/>
    <w:rsid w:val="00B615AD"/>
    <w:rsid w:val="00B621B6"/>
    <w:rsid w:val="00B74FCA"/>
    <w:rsid w:val="00B76F33"/>
    <w:rsid w:val="00B8279F"/>
    <w:rsid w:val="00B8719B"/>
    <w:rsid w:val="00B90E20"/>
    <w:rsid w:val="00B975BD"/>
    <w:rsid w:val="00BA481D"/>
    <w:rsid w:val="00BA4F55"/>
    <w:rsid w:val="00BB3B40"/>
    <w:rsid w:val="00BC3BBC"/>
    <w:rsid w:val="00BC3E3E"/>
    <w:rsid w:val="00BE0523"/>
    <w:rsid w:val="00BE30E0"/>
    <w:rsid w:val="00C0074A"/>
    <w:rsid w:val="00C04B8E"/>
    <w:rsid w:val="00C06F9E"/>
    <w:rsid w:val="00C1166C"/>
    <w:rsid w:val="00C11C6C"/>
    <w:rsid w:val="00C12976"/>
    <w:rsid w:val="00C240AD"/>
    <w:rsid w:val="00C30738"/>
    <w:rsid w:val="00C414BC"/>
    <w:rsid w:val="00C52098"/>
    <w:rsid w:val="00C52B51"/>
    <w:rsid w:val="00C535B0"/>
    <w:rsid w:val="00C70355"/>
    <w:rsid w:val="00C77A3F"/>
    <w:rsid w:val="00C82D3E"/>
    <w:rsid w:val="00CA40FE"/>
    <w:rsid w:val="00CA72AA"/>
    <w:rsid w:val="00CA73FB"/>
    <w:rsid w:val="00CB0CFD"/>
    <w:rsid w:val="00CD55B7"/>
    <w:rsid w:val="00CD7803"/>
    <w:rsid w:val="00CE7E98"/>
    <w:rsid w:val="00CE7EA9"/>
    <w:rsid w:val="00CF0235"/>
    <w:rsid w:val="00CF1F9E"/>
    <w:rsid w:val="00CF2C46"/>
    <w:rsid w:val="00CF5A27"/>
    <w:rsid w:val="00D15496"/>
    <w:rsid w:val="00D24385"/>
    <w:rsid w:val="00D26059"/>
    <w:rsid w:val="00D35255"/>
    <w:rsid w:val="00D40F7E"/>
    <w:rsid w:val="00D4651B"/>
    <w:rsid w:val="00D47C6B"/>
    <w:rsid w:val="00D54491"/>
    <w:rsid w:val="00D62DB2"/>
    <w:rsid w:val="00D67A22"/>
    <w:rsid w:val="00D67C22"/>
    <w:rsid w:val="00D71B23"/>
    <w:rsid w:val="00D73E52"/>
    <w:rsid w:val="00D75122"/>
    <w:rsid w:val="00D76841"/>
    <w:rsid w:val="00D92A0C"/>
    <w:rsid w:val="00DA1702"/>
    <w:rsid w:val="00DB65C5"/>
    <w:rsid w:val="00DC1D6F"/>
    <w:rsid w:val="00DD47EB"/>
    <w:rsid w:val="00DE6986"/>
    <w:rsid w:val="00DF1114"/>
    <w:rsid w:val="00E136A0"/>
    <w:rsid w:val="00E137EC"/>
    <w:rsid w:val="00E17020"/>
    <w:rsid w:val="00E23420"/>
    <w:rsid w:val="00E344D2"/>
    <w:rsid w:val="00E37DBB"/>
    <w:rsid w:val="00E404E5"/>
    <w:rsid w:val="00E442C0"/>
    <w:rsid w:val="00E44C3C"/>
    <w:rsid w:val="00E47D59"/>
    <w:rsid w:val="00E51574"/>
    <w:rsid w:val="00E51625"/>
    <w:rsid w:val="00E5338C"/>
    <w:rsid w:val="00E5745A"/>
    <w:rsid w:val="00E63BE5"/>
    <w:rsid w:val="00E709E1"/>
    <w:rsid w:val="00E710C1"/>
    <w:rsid w:val="00E742AA"/>
    <w:rsid w:val="00E82789"/>
    <w:rsid w:val="00E87CED"/>
    <w:rsid w:val="00E908AE"/>
    <w:rsid w:val="00E92FF3"/>
    <w:rsid w:val="00EA04F8"/>
    <w:rsid w:val="00EA51C5"/>
    <w:rsid w:val="00EB1BA8"/>
    <w:rsid w:val="00EB2AA7"/>
    <w:rsid w:val="00EB46EE"/>
    <w:rsid w:val="00EB75BF"/>
    <w:rsid w:val="00EB7BCC"/>
    <w:rsid w:val="00EC4112"/>
    <w:rsid w:val="00EC5DD4"/>
    <w:rsid w:val="00EC7C71"/>
    <w:rsid w:val="00ED23D0"/>
    <w:rsid w:val="00ED4355"/>
    <w:rsid w:val="00ED6B7C"/>
    <w:rsid w:val="00F2299A"/>
    <w:rsid w:val="00F4135C"/>
    <w:rsid w:val="00F46428"/>
    <w:rsid w:val="00F4722C"/>
    <w:rsid w:val="00F5089C"/>
    <w:rsid w:val="00F5227F"/>
    <w:rsid w:val="00F5458F"/>
    <w:rsid w:val="00F670C9"/>
    <w:rsid w:val="00F751A7"/>
    <w:rsid w:val="00F80F04"/>
    <w:rsid w:val="00F841CF"/>
    <w:rsid w:val="00F86DDE"/>
    <w:rsid w:val="00F93E1D"/>
    <w:rsid w:val="00F95FAE"/>
    <w:rsid w:val="00F96197"/>
    <w:rsid w:val="00FA4A7E"/>
    <w:rsid w:val="00FB6A2B"/>
    <w:rsid w:val="00FB6C49"/>
    <w:rsid w:val="00FC7EDD"/>
    <w:rsid w:val="00FD2834"/>
    <w:rsid w:val="00FD3976"/>
    <w:rsid w:val="00FE0673"/>
    <w:rsid w:val="00FF1217"/>
    <w:rsid w:val="00FF3A39"/>
    <w:rsid w:val="00FF4E74"/>
    <w:rsid w:val="01A60362"/>
    <w:rsid w:val="027612AB"/>
    <w:rsid w:val="02A35163"/>
    <w:rsid w:val="035E56A0"/>
    <w:rsid w:val="03A90918"/>
    <w:rsid w:val="03B7251A"/>
    <w:rsid w:val="03D31E7A"/>
    <w:rsid w:val="0400171E"/>
    <w:rsid w:val="0431499F"/>
    <w:rsid w:val="04740302"/>
    <w:rsid w:val="051D6692"/>
    <w:rsid w:val="054E12B5"/>
    <w:rsid w:val="057668C0"/>
    <w:rsid w:val="058D2F30"/>
    <w:rsid w:val="05D22D9C"/>
    <w:rsid w:val="0620404F"/>
    <w:rsid w:val="067D0BE9"/>
    <w:rsid w:val="071E7D96"/>
    <w:rsid w:val="07CB496A"/>
    <w:rsid w:val="092114B4"/>
    <w:rsid w:val="098F153E"/>
    <w:rsid w:val="09E03162"/>
    <w:rsid w:val="0AF7780B"/>
    <w:rsid w:val="0C67160B"/>
    <w:rsid w:val="0CA77331"/>
    <w:rsid w:val="0CBA1B44"/>
    <w:rsid w:val="0CC14878"/>
    <w:rsid w:val="0D980A7D"/>
    <w:rsid w:val="0E512C16"/>
    <w:rsid w:val="0E703C61"/>
    <w:rsid w:val="0E8A3680"/>
    <w:rsid w:val="0E9C6708"/>
    <w:rsid w:val="0EB47275"/>
    <w:rsid w:val="0F2729AB"/>
    <w:rsid w:val="0FEC69AF"/>
    <w:rsid w:val="10C54ECC"/>
    <w:rsid w:val="11433AE9"/>
    <w:rsid w:val="12D75887"/>
    <w:rsid w:val="12E93CD4"/>
    <w:rsid w:val="13400CCA"/>
    <w:rsid w:val="140318E3"/>
    <w:rsid w:val="14314476"/>
    <w:rsid w:val="14E71A58"/>
    <w:rsid w:val="15400D5C"/>
    <w:rsid w:val="173B6D30"/>
    <w:rsid w:val="179B3F36"/>
    <w:rsid w:val="17B67874"/>
    <w:rsid w:val="18670821"/>
    <w:rsid w:val="187C3D68"/>
    <w:rsid w:val="18B466C6"/>
    <w:rsid w:val="193E726F"/>
    <w:rsid w:val="19467ED2"/>
    <w:rsid w:val="199567AD"/>
    <w:rsid w:val="19D6671E"/>
    <w:rsid w:val="1A133283"/>
    <w:rsid w:val="1A68063A"/>
    <w:rsid w:val="1ACC14E9"/>
    <w:rsid w:val="1B163A7E"/>
    <w:rsid w:val="1C1945A6"/>
    <w:rsid w:val="1C2C1048"/>
    <w:rsid w:val="1D4C23FA"/>
    <w:rsid w:val="1D6F3314"/>
    <w:rsid w:val="1E936E3C"/>
    <w:rsid w:val="2049481E"/>
    <w:rsid w:val="2059673D"/>
    <w:rsid w:val="208E1939"/>
    <w:rsid w:val="215B41C8"/>
    <w:rsid w:val="21BE646B"/>
    <w:rsid w:val="21D95778"/>
    <w:rsid w:val="23BE05AB"/>
    <w:rsid w:val="23C37899"/>
    <w:rsid w:val="24150F76"/>
    <w:rsid w:val="247342C7"/>
    <w:rsid w:val="24CC4897"/>
    <w:rsid w:val="25513DC9"/>
    <w:rsid w:val="25607E42"/>
    <w:rsid w:val="256C499C"/>
    <w:rsid w:val="26011704"/>
    <w:rsid w:val="264D6F18"/>
    <w:rsid w:val="270B439B"/>
    <w:rsid w:val="270E64D3"/>
    <w:rsid w:val="270E6C79"/>
    <w:rsid w:val="2785755E"/>
    <w:rsid w:val="27BA54BC"/>
    <w:rsid w:val="281C7D8E"/>
    <w:rsid w:val="282A455F"/>
    <w:rsid w:val="28523542"/>
    <w:rsid w:val="28C57065"/>
    <w:rsid w:val="298245DA"/>
    <w:rsid w:val="2A24600D"/>
    <w:rsid w:val="2A45091C"/>
    <w:rsid w:val="2B332858"/>
    <w:rsid w:val="2BAF37DD"/>
    <w:rsid w:val="2BD75F15"/>
    <w:rsid w:val="2C3562B0"/>
    <w:rsid w:val="2C5E64EE"/>
    <w:rsid w:val="2C9F197B"/>
    <w:rsid w:val="2CAB1A26"/>
    <w:rsid w:val="2D8B5F90"/>
    <w:rsid w:val="2DF9330D"/>
    <w:rsid w:val="2E03350A"/>
    <w:rsid w:val="2E5074C4"/>
    <w:rsid w:val="2F9A368C"/>
    <w:rsid w:val="300A115E"/>
    <w:rsid w:val="30A3471E"/>
    <w:rsid w:val="31352E05"/>
    <w:rsid w:val="32B103DD"/>
    <w:rsid w:val="32F15F4C"/>
    <w:rsid w:val="32FB13E6"/>
    <w:rsid w:val="33250124"/>
    <w:rsid w:val="341D2FAF"/>
    <w:rsid w:val="34324010"/>
    <w:rsid w:val="346D5E8F"/>
    <w:rsid w:val="34813D41"/>
    <w:rsid w:val="352261D6"/>
    <w:rsid w:val="354731AA"/>
    <w:rsid w:val="358564EF"/>
    <w:rsid w:val="361352C6"/>
    <w:rsid w:val="361F2ED9"/>
    <w:rsid w:val="36F87861"/>
    <w:rsid w:val="372238D5"/>
    <w:rsid w:val="375A1CC9"/>
    <w:rsid w:val="37AB1B1C"/>
    <w:rsid w:val="37C25A44"/>
    <w:rsid w:val="38764AB1"/>
    <w:rsid w:val="38A722E3"/>
    <w:rsid w:val="392C0A0B"/>
    <w:rsid w:val="39D1376C"/>
    <w:rsid w:val="3A0778C4"/>
    <w:rsid w:val="3B5B6288"/>
    <w:rsid w:val="3B9535B0"/>
    <w:rsid w:val="3BA7366E"/>
    <w:rsid w:val="3C176AFE"/>
    <w:rsid w:val="3C6109FB"/>
    <w:rsid w:val="3EA121E0"/>
    <w:rsid w:val="3FCB17B4"/>
    <w:rsid w:val="3FE060DB"/>
    <w:rsid w:val="40674EB6"/>
    <w:rsid w:val="40697B37"/>
    <w:rsid w:val="40D0614F"/>
    <w:rsid w:val="40EA1A2D"/>
    <w:rsid w:val="41775AE0"/>
    <w:rsid w:val="41C63968"/>
    <w:rsid w:val="42251509"/>
    <w:rsid w:val="423C4FEB"/>
    <w:rsid w:val="4271418D"/>
    <w:rsid w:val="427D7F64"/>
    <w:rsid w:val="42987401"/>
    <w:rsid w:val="42BD7381"/>
    <w:rsid w:val="42FD5D11"/>
    <w:rsid w:val="43704F5B"/>
    <w:rsid w:val="43FC5D17"/>
    <w:rsid w:val="441F24BC"/>
    <w:rsid w:val="445C6678"/>
    <w:rsid w:val="44EE3FDC"/>
    <w:rsid w:val="45D0719E"/>
    <w:rsid w:val="45DE1D0D"/>
    <w:rsid w:val="463D4287"/>
    <w:rsid w:val="46565349"/>
    <w:rsid w:val="46705FD7"/>
    <w:rsid w:val="46A460B4"/>
    <w:rsid w:val="472E7E28"/>
    <w:rsid w:val="47C3064B"/>
    <w:rsid w:val="48ED6E34"/>
    <w:rsid w:val="49383A42"/>
    <w:rsid w:val="49543DC1"/>
    <w:rsid w:val="497B5EC9"/>
    <w:rsid w:val="49D9656B"/>
    <w:rsid w:val="4B691D69"/>
    <w:rsid w:val="4BD034A7"/>
    <w:rsid w:val="4C504A2C"/>
    <w:rsid w:val="4CE9093D"/>
    <w:rsid w:val="4D2729A1"/>
    <w:rsid w:val="4D5E70DD"/>
    <w:rsid w:val="4DC1731C"/>
    <w:rsid w:val="4E737CD4"/>
    <w:rsid w:val="4F455D99"/>
    <w:rsid w:val="4F562C35"/>
    <w:rsid w:val="4F6C64CA"/>
    <w:rsid w:val="4F78586C"/>
    <w:rsid w:val="500758EB"/>
    <w:rsid w:val="50E1074D"/>
    <w:rsid w:val="512B54A8"/>
    <w:rsid w:val="51517578"/>
    <w:rsid w:val="51FF0996"/>
    <w:rsid w:val="525519F8"/>
    <w:rsid w:val="5275383B"/>
    <w:rsid w:val="53D7511E"/>
    <w:rsid w:val="54097BF9"/>
    <w:rsid w:val="541A4196"/>
    <w:rsid w:val="54594645"/>
    <w:rsid w:val="54691B9D"/>
    <w:rsid w:val="54A51975"/>
    <w:rsid w:val="54BA5F5E"/>
    <w:rsid w:val="55227395"/>
    <w:rsid w:val="573B7AE4"/>
    <w:rsid w:val="575716B5"/>
    <w:rsid w:val="577675F9"/>
    <w:rsid w:val="57A8077B"/>
    <w:rsid w:val="587F7C40"/>
    <w:rsid w:val="58E21C26"/>
    <w:rsid w:val="59717802"/>
    <w:rsid w:val="59E16003"/>
    <w:rsid w:val="5B12395C"/>
    <w:rsid w:val="5B3B7CD5"/>
    <w:rsid w:val="5BDE0097"/>
    <w:rsid w:val="5C5067B2"/>
    <w:rsid w:val="5C80234E"/>
    <w:rsid w:val="5C813653"/>
    <w:rsid w:val="5C8523E5"/>
    <w:rsid w:val="5CF85B69"/>
    <w:rsid w:val="5D1A3C28"/>
    <w:rsid w:val="5DEA664B"/>
    <w:rsid w:val="5DF81F3B"/>
    <w:rsid w:val="5E702A95"/>
    <w:rsid w:val="5E803118"/>
    <w:rsid w:val="5E8A1965"/>
    <w:rsid w:val="5F7900A1"/>
    <w:rsid w:val="5FE50461"/>
    <w:rsid w:val="60661E25"/>
    <w:rsid w:val="60FD4FD6"/>
    <w:rsid w:val="614822A7"/>
    <w:rsid w:val="61624669"/>
    <w:rsid w:val="61AE754D"/>
    <w:rsid w:val="61B77308"/>
    <w:rsid w:val="626C0861"/>
    <w:rsid w:val="626D3DAF"/>
    <w:rsid w:val="627F7B9A"/>
    <w:rsid w:val="63381C12"/>
    <w:rsid w:val="63A54E6D"/>
    <w:rsid w:val="63E36016"/>
    <w:rsid w:val="64563912"/>
    <w:rsid w:val="646B3882"/>
    <w:rsid w:val="64DF440C"/>
    <w:rsid w:val="659A5C80"/>
    <w:rsid w:val="65F42E54"/>
    <w:rsid w:val="6610477E"/>
    <w:rsid w:val="66313E17"/>
    <w:rsid w:val="663C03FB"/>
    <w:rsid w:val="66493101"/>
    <w:rsid w:val="66543F70"/>
    <w:rsid w:val="66DE5734"/>
    <w:rsid w:val="67C55B9B"/>
    <w:rsid w:val="67E24DDD"/>
    <w:rsid w:val="68102B67"/>
    <w:rsid w:val="692135B6"/>
    <w:rsid w:val="6941113D"/>
    <w:rsid w:val="69543E4A"/>
    <w:rsid w:val="6A117837"/>
    <w:rsid w:val="6ACB7804"/>
    <w:rsid w:val="6B5B35EE"/>
    <w:rsid w:val="6B9E298B"/>
    <w:rsid w:val="6BA42B26"/>
    <w:rsid w:val="6BD64C55"/>
    <w:rsid w:val="6C38022B"/>
    <w:rsid w:val="6CC135DB"/>
    <w:rsid w:val="6CDA09A4"/>
    <w:rsid w:val="6CF83B69"/>
    <w:rsid w:val="6D7D39E6"/>
    <w:rsid w:val="6E060769"/>
    <w:rsid w:val="6E473BAF"/>
    <w:rsid w:val="6F026A8A"/>
    <w:rsid w:val="6F4B03C0"/>
    <w:rsid w:val="6F5C3BFE"/>
    <w:rsid w:val="6F65666C"/>
    <w:rsid w:val="7058283E"/>
    <w:rsid w:val="70820236"/>
    <w:rsid w:val="70D35CA6"/>
    <w:rsid w:val="70F41025"/>
    <w:rsid w:val="71A100AE"/>
    <w:rsid w:val="71A31922"/>
    <w:rsid w:val="71D264E2"/>
    <w:rsid w:val="72027E70"/>
    <w:rsid w:val="72395764"/>
    <w:rsid w:val="72403C7E"/>
    <w:rsid w:val="72706D73"/>
    <w:rsid w:val="72C36121"/>
    <w:rsid w:val="72F7182C"/>
    <w:rsid w:val="7357148C"/>
    <w:rsid w:val="73795658"/>
    <w:rsid w:val="73B11066"/>
    <w:rsid w:val="73F944B6"/>
    <w:rsid w:val="73FF61DE"/>
    <w:rsid w:val="742A7091"/>
    <w:rsid w:val="74813606"/>
    <w:rsid w:val="74FA5578"/>
    <w:rsid w:val="759D1102"/>
    <w:rsid w:val="75E31EA6"/>
    <w:rsid w:val="75FF3B64"/>
    <w:rsid w:val="7789576E"/>
    <w:rsid w:val="77B8275F"/>
    <w:rsid w:val="780044F1"/>
    <w:rsid w:val="78391D4B"/>
    <w:rsid w:val="785548A6"/>
    <w:rsid w:val="786645CE"/>
    <w:rsid w:val="787F3230"/>
    <w:rsid w:val="789F4ED2"/>
    <w:rsid w:val="78C86137"/>
    <w:rsid w:val="78EC6E3A"/>
    <w:rsid w:val="7A492DB0"/>
    <w:rsid w:val="7A5279F7"/>
    <w:rsid w:val="7B941ACD"/>
    <w:rsid w:val="7BDE0C48"/>
    <w:rsid w:val="7C30396B"/>
    <w:rsid w:val="7C82104F"/>
    <w:rsid w:val="7CA4518D"/>
    <w:rsid w:val="7CF80AAD"/>
    <w:rsid w:val="7E1776B7"/>
    <w:rsid w:val="7E345955"/>
    <w:rsid w:val="7E967B3C"/>
    <w:rsid w:val="7EA733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5"/>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unhideWhenUsed/>
    <w:qFormat/>
    <w:uiPriority w:val="99"/>
    <w:rPr>
      <w:color w:val="0000FF"/>
      <w:u w:val="single"/>
    </w:rPr>
  </w:style>
  <w:style w:type="character" w:customStyle="1" w:styleId="9">
    <w:name w:val="页眉 Char"/>
    <w:basedOn w:val="7"/>
    <w:link w:val="4"/>
    <w:qFormat/>
    <w:uiPriority w:val="0"/>
    <w:rPr>
      <w:sz w:val="18"/>
      <w:szCs w:val="18"/>
    </w:rPr>
  </w:style>
  <w:style w:type="character" w:customStyle="1" w:styleId="10">
    <w:name w:val="页脚 Char"/>
    <w:basedOn w:val="7"/>
    <w:link w:val="3"/>
    <w:qFormat/>
    <w:uiPriority w:val="99"/>
    <w:rPr>
      <w:sz w:val="18"/>
      <w:szCs w:val="18"/>
    </w:rPr>
  </w:style>
  <w:style w:type="character" w:customStyle="1" w:styleId="11">
    <w:name w:val="font31"/>
    <w:basedOn w:val="7"/>
    <w:qFormat/>
    <w:uiPriority w:val="0"/>
    <w:rPr>
      <w:rFonts w:hint="default" w:ascii="Arial" w:hAnsi="Arial" w:cs="Arial"/>
      <w:color w:val="333333"/>
      <w:sz w:val="20"/>
      <w:szCs w:val="20"/>
      <w:u w:val="none"/>
    </w:rPr>
  </w:style>
  <w:style w:type="paragraph" w:styleId="12">
    <w:name w:val="List Paragraph"/>
    <w:basedOn w:val="1"/>
    <w:qFormat/>
    <w:uiPriority w:val="34"/>
    <w:pPr>
      <w:ind w:firstLine="420" w:firstLineChars="200"/>
    </w:pPr>
  </w:style>
  <w:style w:type="character" w:customStyle="1" w:styleId="13">
    <w:name w:val="font01"/>
    <w:basedOn w:val="7"/>
    <w:qFormat/>
    <w:uiPriority w:val="0"/>
    <w:rPr>
      <w:rFonts w:hint="eastAsia" w:ascii="宋体" w:hAnsi="宋体" w:eastAsia="宋体" w:cs="宋体"/>
      <w:color w:val="333333"/>
      <w:sz w:val="20"/>
      <w:szCs w:val="20"/>
      <w:u w:val="none"/>
    </w:rPr>
  </w:style>
  <w:style w:type="character" w:customStyle="1" w:styleId="14">
    <w:name w:val="font11"/>
    <w:basedOn w:val="7"/>
    <w:qFormat/>
    <w:uiPriority w:val="0"/>
    <w:rPr>
      <w:rFonts w:hint="default" w:ascii="Arial" w:hAnsi="Arial" w:cs="Arial"/>
      <w:color w:val="333333"/>
      <w:sz w:val="20"/>
      <w:szCs w:val="20"/>
      <w:u w:val="none"/>
    </w:rPr>
  </w:style>
  <w:style w:type="character" w:customStyle="1" w:styleId="15">
    <w:name w:val="批注框文本 Char"/>
    <w:basedOn w:val="7"/>
    <w:link w:val="2"/>
    <w:semiHidden/>
    <w:qFormat/>
    <w:uiPriority w:val="99"/>
    <w:rPr>
      <w:kern w:val="2"/>
      <w:sz w:val="18"/>
      <w:szCs w:val="18"/>
    </w:rPr>
  </w:style>
  <w:style w:type="paragraph" w:customStyle="1" w:styleId="16">
    <w:name w:val="p0"/>
    <w:basedOn w:val="1"/>
    <w:qFormat/>
    <w:uiPriority w:val="0"/>
    <w:pPr>
      <w:widowControl/>
    </w:pPr>
    <w:rPr>
      <w:kern w:val="0"/>
      <w:szCs w:val="21"/>
    </w:rPr>
  </w:style>
  <w:style w:type="paragraph" w:customStyle="1" w:styleId="17">
    <w:name w:val="行距: 固定值 15 磅"/>
    <w:basedOn w:val="1"/>
    <w:qFormat/>
    <w:uiPriority w:val="0"/>
    <w:pPr>
      <w:spacing w:line="300" w:lineRule="exact"/>
      <w:ind w:left="-178" w:leftChars="-85" w:right="840" w:firstLine="211"/>
      <w:jc w:val="center"/>
    </w:pPr>
    <w:rPr>
      <w:rFonts w:cs="宋体"/>
      <w:b/>
      <w:bCs/>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66C2A3-50A0-49E9-AF7A-7720B13F6A6D}">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Pages>
  <Words>2075</Words>
  <Characters>346</Characters>
  <Lines>2</Lines>
  <Paragraphs>4</Paragraphs>
  <TotalTime>171</TotalTime>
  <ScaleCrop>false</ScaleCrop>
  <LinksUpToDate>false</LinksUpToDate>
  <CharactersWithSpaces>2417</CharactersWithSpaces>
  <Application>WPS Office_11.8.6.11825_F1E327BC-269C-435d-A152-05C5408002CA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2023-07-12T08:20:00Z</dcterms:created>
  <dc:creator>孙乾双</dc:creator>
  <cp:lastModifiedBy>Administrator</cp:lastModifiedBy>
  <cp:lastPrinted>2023-01-28T03:12:00Z</cp:lastPrinted>
  <dcterms:modified xsi:type="dcterms:W3CDTF">2023-12-06T01:59:05Z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2052-11.8.6.11825</vt:lpwstr>
  </property>
  <property fmtid="{D5CDD505-2E9C-101B-9397-08002B2CF9AE}" pid="3" name="ICV">
    <vt:lpwstr>8803192E6F8149FEA8CE50EF54C3DF7A</vt:lpwstr>
  </property>
</Properties>
</file>