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重庆横河川仪有限公司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压力变送器260203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green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19185226020458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压力变送器260203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575"/>
        <w:gridCol w:w="1706"/>
        <w:gridCol w:w="488"/>
        <w:gridCol w:w="457"/>
        <w:gridCol w:w="1249"/>
        <w:gridCol w:w="1463"/>
        <w:gridCol w:w="163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绝对压力变送器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EJA510E-JAS8N-015DN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山东省日照市东港区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2026-02-15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高哲15165089115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EJA110E-JHS5J-917EA/K2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山东省莒南县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2026-02-15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  13516341951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0-142.5 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EJA110E-JMS4G-93DEB/NF2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山东省日照市东港区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高哲  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EJA118E-JMSCJ-912EA-WG23A2SW00-BA25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山东省日照市东港区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高哲  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隔爆型压力变送器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EJA530E-JBS7N-017DN/NF2/N4/C1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山东省日照市东港区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高哲  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outlineLvl w:val="1"/>
        <w:rPr>
          <w:rFonts w:hint="default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  <w:bookmarkStart w:id="0" w:name="_GoBack"/>
      <w:bookmarkEnd w:id="0"/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 w:eastAsia="zh-CN"/>
        </w:rPr>
        <w:t>莱芜钢铁集团电子有限公司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2D8941F-B475-44B0-BE49-C7EA69618A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50A862-5BF4-4EDB-B1C3-B13ECC02AF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732815A-D62C-4699-A7A4-FECF71192D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6395C"/>
    <w:rsid w:val="034E3727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A93D9F"/>
    <w:rsid w:val="1E19085C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056A5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283EC7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EFE2757"/>
    <w:rsid w:val="4F6E54B1"/>
    <w:rsid w:val="4F904782"/>
    <w:rsid w:val="4F9E4663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8228C8"/>
    <w:rsid w:val="56A56E2D"/>
    <w:rsid w:val="56AB03B0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2F3EFC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D1EBA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D2863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1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2026-02-04T06:31:16Z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