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济南海康威视数字技术有限公司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摄像机等260205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ascii="Tahoma" w:hAnsi="Tahoma" w:eastAsia="Tahoma" w:cs="Tahoma"/>
          <w:color w:val="22405A"/>
          <w:sz w:val="18"/>
          <w:szCs w:val="18"/>
          <w:highlight w:val="yellow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19185226020559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摄像机等260205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184"/>
        <w:gridCol w:w="2599"/>
        <w:gridCol w:w="413"/>
        <w:gridCol w:w="337"/>
        <w:gridCol w:w="1134"/>
        <w:gridCol w:w="1633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1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2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全景摄像机</w:t>
            </w:r>
          </w:p>
        </w:tc>
        <w:tc>
          <w:tcPr>
            <w:tcW w:w="2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DS-2CD2786FWDA1-IZS(2.7-12mm)</w:t>
            </w:r>
          </w:p>
        </w:tc>
        <w:tc>
          <w:tcPr>
            <w:tcW w:w="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莱钢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2026-3-1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李兴来18663491920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特写摄像机</w:t>
            </w:r>
          </w:p>
        </w:tc>
        <w:tc>
          <w:tcPr>
            <w:tcW w:w="2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DS-2CD3445F-IZ</w:t>
            </w:r>
          </w:p>
        </w:tc>
        <w:tc>
          <w:tcPr>
            <w:tcW w:w="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莱钢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2026-3-1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李兴来18663491920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400万网络半球摄像机</w:t>
            </w:r>
          </w:p>
        </w:tc>
        <w:tc>
          <w:tcPr>
            <w:tcW w:w="2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DS-2CD2746CENV4-IZO 带电源、支架</w:t>
            </w:r>
          </w:p>
        </w:tc>
        <w:tc>
          <w:tcPr>
            <w:tcW w:w="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莱钢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2026-3-1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李兴来18663491920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400万网络筒机摄像机</w:t>
            </w:r>
          </w:p>
        </w:tc>
        <w:tc>
          <w:tcPr>
            <w:tcW w:w="2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7"/>
                <w:rFonts w:hint="eastAsia" w:ascii="仿宋" w:hAnsi="仿宋" w:eastAsia="仿宋" w:cs="仿宋"/>
                <w:lang w:val="en-US" w:eastAsia="zh-CN" w:bidi="ar"/>
              </w:rPr>
              <w:t>DS-2CD2T4</w:t>
            </w:r>
            <w:r>
              <w:rPr>
                <w:rStyle w:val="58"/>
                <w:rFonts w:hint="eastAsia" w:ascii="仿宋" w:hAnsi="仿宋" w:eastAsia="仿宋" w:cs="仿宋"/>
                <w:lang w:val="en-US" w:eastAsia="zh-CN" w:bidi="ar"/>
              </w:rPr>
              <w:t>7ENWDV4-LZO</w:t>
            </w:r>
          </w:p>
        </w:tc>
        <w:tc>
          <w:tcPr>
            <w:tcW w:w="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莱钢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2026-3-1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李兴来18663491920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2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7"/>
                <w:rFonts w:hint="eastAsia" w:ascii="仿宋" w:hAnsi="仿宋" w:eastAsia="仿宋" w:cs="仿宋"/>
                <w:lang w:val="en-US" w:eastAsia="zh-CN" w:bidi="ar"/>
              </w:rPr>
              <w:t>DS-8632N-I8</w:t>
            </w:r>
            <w:r>
              <w:rPr>
                <w:rStyle w:val="58"/>
                <w:rFonts w:hint="eastAsia" w:ascii="仿宋" w:hAnsi="仿宋" w:eastAsia="仿宋" w:cs="仿宋"/>
                <w:lang w:val="en-US" w:eastAsia="zh-CN" w:bidi="ar"/>
              </w:rPr>
              <w:t>-V4/RTX</w:t>
            </w:r>
          </w:p>
        </w:tc>
        <w:tc>
          <w:tcPr>
            <w:tcW w:w="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莱钢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2026-3-1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李兴来18663491920</w:t>
            </w:r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https://bams.shansteelgroup.com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720" w:firstLineChars="3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https://bams.shansteelgroup.com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https://bams.shansteelgroup.com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8FCA33F-7AC5-4824-8A90-A382BBDCA0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FB0EAD-D06D-4BDF-8CA0-D7FA466564C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7A805C13-E599-44D4-ACEE-59672017AC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18F91A6-062F-406B-A1C6-E3092692AB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1C7AEE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26D3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16B1E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09156D2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9E5A20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95567A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04089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677719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044705"/>
    <w:rsid w:val="59154BEF"/>
    <w:rsid w:val="591A5DA5"/>
    <w:rsid w:val="59253CA8"/>
    <w:rsid w:val="596A1F5F"/>
    <w:rsid w:val="59E50807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70244C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916594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  <w:style w:type="character" w:customStyle="1" w:styleId="57">
    <w:name w:val="font2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font01"/>
    <w:basedOn w:val="2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1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2026-02-05T10:12:17Z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