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1BD1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</w:p>
    <w:p w14:paraId="7D76FDE3">
      <w:pPr>
        <w:spacing w:line="360" w:lineRule="auto"/>
        <w:jc w:val="center"/>
        <w:rPr>
          <w:rFonts w:ascii="宋体" w:hAnsi="宋体" w:cs="宋体"/>
          <w:sz w:val="36"/>
          <w:szCs w:val="36"/>
          <w:u w:val="single"/>
        </w:rPr>
      </w:pPr>
    </w:p>
    <w:p w14:paraId="329C49D7">
      <w:pPr>
        <w:spacing w:line="360" w:lineRule="auto"/>
        <w:rPr>
          <w:rFonts w:ascii="宋体" w:hAnsi="宋体" w:cs="宋体"/>
          <w:sz w:val="36"/>
          <w:szCs w:val="36"/>
        </w:rPr>
      </w:pPr>
    </w:p>
    <w:p w14:paraId="2FDBA5D5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山东</w:t>
      </w:r>
      <w:r>
        <w:rPr>
          <w:rFonts w:hint="eastAsia" w:ascii="宋体" w:hAnsi="宋体" w:cs="宋体"/>
          <w:sz w:val="36"/>
          <w:szCs w:val="36"/>
          <w:lang w:eastAsia="zh-CN"/>
        </w:rPr>
        <w:t>金召矿业</w:t>
      </w:r>
      <w:r>
        <w:rPr>
          <w:rFonts w:hint="eastAsia" w:ascii="宋体" w:hAnsi="宋体" w:cs="宋体"/>
          <w:sz w:val="36"/>
          <w:szCs w:val="36"/>
        </w:rPr>
        <w:t>有限公司</w:t>
      </w:r>
    </w:p>
    <w:p w14:paraId="6AE3C197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矿用液压采矿钻车</w:t>
      </w:r>
      <w:r>
        <w:rPr>
          <w:rFonts w:hint="eastAsia" w:ascii="宋体" w:hAnsi="宋体" w:cs="宋体"/>
          <w:sz w:val="36"/>
          <w:szCs w:val="36"/>
        </w:rPr>
        <w:t>采购项目</w:t>
      </w:r>
    </w:p>
    <w:p w14:paraId="3255AEC5"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（项目编号：61139926021284）</w:t>
      </w:r>
    </w:p>
    <w:p w14:paraId="2EE678B2">
      <w:pPr>
        <w:rPr>
          <w:rFonts w:ascii="宋体" w:hAnsi="宋体" w:cs="宋体"/>
          <w:sz w:val="28"/>
          <w:szCs w:val="28"/>
        </w:rPr>
      </w:pPr>
    </w:p>
    <w:p w14:paraId="629192AF">
      <w:pPr>
        <w:pStyle w:val="23"/>
        <w:ind w:firstLine="420"/>
        <w:rPr>
          <w:rFonts w:hAnsi="宋体" w:cs="宋体"/>
        </w:rPr>
      </w:pPr>
    </w:p>
    <w:p w14:paraId="5DAF52CA">
      <w:pPr>
        <w:ind w:firstLine="420"/>
        <w:rPr>
          <w:rFonts w:ascii="宋体" w:hAnsi="宋体" w:cs="宋体"/>
        </w:rPr>
      </w:pPr>
    </w:p>
    <w:p w14:paraId="4FC25E0C">
      <w:pPr>
        <w:pStyle w:val="23"/>
        <w:ind w:firstLine="420"/>
        <w:rPr>
          <w:rFonts w:hAnsi="宋体" w:cs="宋体"/>
        </w:rPr>
      </w:pPr>
    </w:p>
    <w:p w14:paraId="508E435B">
      <w:pPr>
        <w:tabs>
          <w:tab w:val="left" w:pos="315"/>
          <w:tab w:val="left" w:pos="8820"/>
        </w:tabs>
        <w:ind w:right="266" w:rightChars="127"/>
        <w:jc w:val="center"/>
        <w:rPr>
          <w:rFonts w:hint="eastAsia" w:ascii="宋体" w:hAnsi="宋体" w:eastAsia="宋体" w:cs="宋体"/>
          <w:b/>
          <w:bCs/>
          <w:color w:val="000000"/>
          <w:sz w:val="5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52"/>
        </w:rPr>
        <w:t>竞争性谈判</w:t>
      </w:r>
      <w:r>
        <w:rPr>
          <w:rFonts w:hint="eastAsia" w:ascii="宋体" w:hAnsi="宋体" w:cs="宋体"/>
          <w:b/>
          <w:bCs/>
          <w:color w:val="000000"/>
          <w:sz w:val="52"/>
          <w:lang w:val="en-US" w:eastAsia="zh-CN"/>
        </w:rPr>
        <w:t>公告</w:t>
      </w:r>
    </w:p>
    <w:p w14:paraId="255403D3">
      <w:pPr>
        <w:pStyle w:val="23"/>
        <w:rPr>
          <w:rFonts w:hAnsi="宋体" w:cs="宋体"/>
        </w:rPr>
      </w:pPr>
    </w:p>
    <w:p w14:paraId="773CB520">
      <w:pPr>
        <w:ind w:firstLine="420"/>
        <w:rPr>
          <w:rFonts w:ascii="宋体" w:hAnsi="宋体" w:cs="宋体"/>
        </w:rPr>
      </w:pPr>
    </w:p>
    <w:p w14:paraId="60637B29">
      <w:pPr>
        <w:ind w:firstLine="420"/>
        <w:rPr>
          <w:rFonts w:ascii="宋体" w:hAnsi="宋体" w:cs="宋体"/>
        </w:rPr>
      </w:pPr>
    </w:p>
    <w:p w14:paraId="1C6B91B6">
      <w:pPr>
        <w:pStyle w:val="23"/>
        <w:ind w:firstLine="420"/>
        <w:rPr>
          <w:rFonts w:hAnsi="宋体" w:cs="宋体"/>
        </w:rPr>
      </w:pPr>
    </w:p>
    <w:p w14:paraId="55AA33A8">
      <w:pPr>
        <w:rPr>
          <w:rFonts w:ascii="宋体" w:hAnsi="宋体" w:cs="宋体"/>
          <w:sz w:val="30"/>
          <w:szCs w:val="30"/>
        </w:rPr>
      </w:pPr>
    </w:p>
    <w:p w14:paraId="25B8F13B">
      <w:pPr>
        <w:rPr>
          <w:rFonts w:ascii="宋体" w:hAnsi="宋体" w:cs="宋体"/>
          <w:sz w:val="30"/>
          <w:szCs w:val="30"/>
        </w:rPr>
      </w:pPr>
    </w:p>
    <w:p w14:paraId="53FF3167">
      <w:pPr>
        <w:rPr>
          <w:rFonts w:ascii="宋体" w:hAnsi="宋体" w:cs="宋体"/>
          <w:sz w:val="30"/>
          <w:szCs w:val="30"/>
        </w:rPr>
      </w:pPr>
    </w:p>
    <w:p w14:paraId="5EF10AD3">
      <w:pPr>
        <w:spacing w:line="720" w:lineRule="auto"/>
        <w:ind w:left="850" w:leftChars="405"/>
        <w:jc w:val="left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            采购人：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山东金召矿业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有限公司</w:t>
      </w:r>
    </w:p>
    <w:p w14:paraId="61B80B9E">
      <w:pPr>
        <w:spacing w:line="72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5DB937E3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46BDCC93">
      <w:pPr>
        <w:pStyle w:val="23"/>
      </w:pPr>
    </w:p>
    <w:p w14:paraId="5FD7B9B7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1A466272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1.采购条件</w:t>
      </w:r>
    </w:p>
    <w:p w14:paraId="4C2214C5">
      <w:pPr>
        <w:pStyle w:val="23"/>
        <w:spacing w:line="480" w:lineRule="auto"/>
        <w:rPr>
          <w:rFonts w:hAnsi="宋体" w:cs="宋体"/>
          <w:color w:val="000000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 xml:space="preserve">    本采购项目,采购人为</w:t>
      </w:r>
      <w:r>
        <w:rPr>
          <w:rFonts w:hint="eastAsia" w:hAnsi="宋体" w:cs="宋体"/>
          <w:sz w:val="21"/>
          <w:szCs w:val="21"/>
          <w:lang w:eastAsia="zh-CN"/>
        </w:rPr>
        <w:t>山东金召矿业有限公司</w:t>
      </w:r>
      <w:r>
        <w:rPr>
          <w:rFonts w:hint="eastAsia" w:hAnsi="宋体" w:cs="宋体"/>
          <w:sz w:val="21"/>
          <w:szCs w:val="21"/>
        </w:rPr>
        <w:t>，采购项目资金来自企业自筹，出资比例为100%。该项目已具备采购条件，现对该项目进行竞争性谈判采购。</w:t>
      </w:r>
    </w:p>
    <w:p w14:paraId="72CE52CE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2.采购项目名称及内容</w:t>
      </w:r>
    </w:p>
    <w:p w14:paraId="28B5E2BB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2.1项目编号：61139926021284</w:t>
      </w:r>
    </w:p>
    <w:p w14:paraId="5542E5C1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2.2项目名称：</w:t>
      </w:r>
      <w:r>
        <w:rPr>
          <w:rFonts w:hint="eastAsia" w:hAnsi="宋体" w:cs="宋体"/>
          <w:szCs w:val="21"/>
          <w:lang w:eastAsia="zh-CN"/>
        </w:rPr>
        <w:t>矿用液压采矿钻车</w:t>
      </w:r>
      <w:r>
        <w:rPr>
          <w:rFonts w:hint="eastAsia" w:hAnsi="宋体" w:cs="宋体"/>
          <w:szCs w:val="21"/>
        </w:rPr>
        <w:t>采购项目</w:t>
      </w:r>
    </w:p>
    <w:p w14:paraId="2BEB60A7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2.3采购方式：竞争性谈判</w:t>
      </w:r>
    </w:p>
    <w:p w14:paraId="7B1DDC9D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2.4采购内容：</w:t>
      </w:r>
    </w:p>
    <w:tbl>
      <w:tblPr>
        <w:tblStyle w:val="55"/>
        <w:tblW w:w="0" w:type="auto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222"/>
        <w:gridCol w:w="3685"/>
        <w:gridCol w:w="1160"/>
        <w:gridCol w:w="1160"/>
      </w:tblGrid>
      <w:tr w14:paraId="077C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96" w:type="dxa"/>
            <w:vAlign w:val="center"/>
          </w:tcPr>
          <w:p w14:paraId="157EB03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2222" w:type="dxa"/>
            <w:vAlign w:val="center"/>
          </w:tcPr>
          <w:p w14:paraId="0519969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504C899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160" w:type="dxa"/>
            <w:vAlign w:val="center"/>
          </w:tcPr>
          <w:p w14:paraId="04682C9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1160" w:type="dxa"/>
            <w:vAlign w:val="center"/>
          </w:tcPr>
          <w:p w14:paraId="6A92F07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</w:tr>
      <w:tr w14:paraId="21BB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96" w:type="dxa"/>
            <w:vAlign w:val="center"/>
          </w:tcPr>
          <w:p w14:paraId="7BC84A71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222" w:type="dxa"/>
            <w:vAlign w:val="center"/>
          </w:tcPr>
          <w:p w14:paraId="0A6675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hAnsi="宋体" w:cs="宋体"/>
                <w:szCs w:val="21"/>
                <w:lang w:eastAsia="zh-CN"/>
              </w:rPr>
              <w:t>矿用液压采矿钻车</w:t>
            </w:r>
          </w:p>
        </w:tc>
        <w:tc>
          <w:tcPr>
            <w:tcW w:w="3685" w:type="dxa"/>
            <w:vAlign w:val="center"/>
          </w:tcPr>
          <w:p w14:paraId="42EFBA1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 w14:paraId="51CBCC4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台</w:t>
            </w:r>
          </w:p>
        </w:tc>
        <w:tc>
          <w:tcPr>
            <w:tcW w:w="1160" w:type="dxa"/>
            <w:vAlign w:val="center"/>
          </w:tcPr>
          <w:p w14:paraId="4AD856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5D60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123" w:type="dxa"/>
            <w:gridSpan w:val="5"/>
            <w:vAlign w:val="center"/>
          </w:tcPr>
          <w:p w14:paraId="4F08C70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含13%税、运费、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调试和人员培训等费用。</w:t>
            </w:r>
          </w:p>
        </w:tc>
      </w:tr>
    </w:tbl>
    <w:p w14:paraId="24B1FFA5">
      <w:pPr>
        <w:autoSpaceDE w:val="0"/>
        <w:autoSpaceDN w:val="0"/>
        <w:adjustRightInd w:val="0"/>
        <w:spacing w:before="120" w:beforeLines="50" w:line="480" w:lineRule="auto"/>
        <w:ind w:firstLine="420" w:firstLineChars="200"/>
        <w:jc w:val="left"/>
        <w:rPr>
          <w:rFonts w:ascii="宋体" w:hAnsi="宋体" w:cs="宋体"/>
          <w:color w:val="000000"/>
          <w:szCs w:val="21"/>
          <w:lang w:val="zh-CN"/>
        </w:rPr>
      </w:pPr>
      <w:r>
        <w:rPr>
          <w:rFonts w:hint="eastAsia" w:ascii="宋体" w:hAnsi="宋体" w:cs="宋体"/>
          <w:color w:val="000000"/>
          <w:szCs w:val="21"/>
          <w:lang w:val="zh-CN"/>
        </w:rPr>
        <w:t>2.5交货期：</w:t>
      </w:r>
      <w:r>
        <w:rPr>
          <w:rFonts w:hint="eastAsia" w:ascii="宋体" w:hAnsi="宋体" w:cs="宋体"/>
          <w:szCs w:val="21"/>
        </w:rPr>
        <w:t>合同签订之日起</w:t>
      </w:r>
      <w:r>
        <w:rPr>
          <w:rFonts w:hint="eastAsia" w:ascii="宋体" w:hAnsi="宋体" w:cs="宋体"/>
          <w:szCs w:val="21"/>
          <w:lang w:val="en-US" w:eastAsia="zh-CN"/>
        </w:rPr>
        <w:t>45</w:t>
      </w:r>
      <w:r>
        <w:rPr>
          <w:rFonts w:hint="eastAsia" w:ascii="宋体" w:hAnsi="宋体" w:cs="宋体"/>
          <w:szCs w:val="21"/>
        </w:rPr>
        <w:t>日历日。</w:t>
      </w:r>
    </w:p>
    <w:p w14:paraId="03828975">
      <w:pPr>
        <w:autoSpaceDE w:val="0"/>
        <w:autoSpaceDN w:val="0"/>
        <w:adjustRightInd w:val="0"/>
        <w:spacing w:line="480" w:lineRule="auto"/>
        <w:ind w:firstLine="420" w:firstLineChars="200"/>
        <w:jc w:val="left"/>
        <w:rPr>
          <w:rFonts w:ascii="宋体" w:hAnsi="宋体" w:cs="宋体"/>
          <w:szCs w:val="21"/>
          <w:u w:val="single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2.6交货地点：</w:t>
      </w:r>
      <w:r>
        <w:rPr>
          <w:rFonts w:hint="eastAsia" w:ascii="宋体" w:hAnsi="宋体" w:cs="宋体"/>
          <w:szCs w:val="21"/>
        </w:rPr>
        <w:t>山东省淄博市</w:t>
      </w:r>
      <w:r>
        <w:rPr>
          <w:rFonts w:hint="eastAsia" w:ascii="宋体" w:hAnsi="宋体" w:cs="宋体"/>
          <w:szCs w:val="21"/>
          <w:lang w:eastAsia="zh-CN"/>
        </w:rPr>
        <w:t>临淄区凤凰镇北金村山东金召矿业有限公司</w:t>
      </w:r>
      <w:r>
        <w:rPr>
          <w:rFonts w:hint="eastAsia" w:ascii="宋体" w:hAnsi="宋体" w:cs="宋体"/>
          <w:szCs w:val="21"/>
        </w:rPr>
        <w:t>。</w:t>
      </w:r>
    </w:p>
    <w:p w14:paraId="052A38AF">
      <w:pPr>
        <w:adjustRightInd w:val="0"/>
        <w:snapToGrid w:val="0"/>
        <w:spacing w:line="480" w:lineRule="auto"/>
        <w:ind w:firstLine="424" w:firstLineChars="20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3.谈判供应商资格要求（谈判响应供应商不符合以下条件的，资格审查将被否决，不再进入下一阶段的评审）</w:t>
      </w:r>
    </w:p>
    <w:p w14:paraId="3AAD15D3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3.1在中国境内注册的独立法人。</w:t>
      </w:r>
    </w:p>
    <w:p w14:paraId="039FEAF3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3.2谈判供应商必须是本次采购产品的生产制造商，具有履行合同所必需的设备和专业技术能力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所投标的矿用液压采矿钻车必须具备矿用产品安全标志证书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KA或MA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p w14:paraId="221EDFCF">
      <w:pPr>
        <w:spacing w:line="48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3.3谈判供应商财务状况良好，没有处于财产被没收、接管、破产或其他关、停、并、转的状态，须提供近三年（202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年、202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年、202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年）财务审计报告或财务报表（完整会计年度资产负债表和损益表）；如近期成立的企业提供成立至今的财务审计报告或财务报表。</w:t>
      </w:r>
    </w:p>
    <w:p w14:paraId="05020C90">
      <w:pPr>
        <w:adjustRightInd w:val="0"/>
        <w:snapToGrid w:val="0"/>
        <w:spacing w:before="72" w:beforeLines="30" w:line="480" w:lineRule="auto"/>
        <w:ind w:firstLine="424" w:firstLineChars="202"/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3.4谈判供应商未被“信用中国”网站列入失信被执行人、重大税收违法失信主体；（须提供网络截图并加盖公司公章）。</w:t>
      </w:r>
    </w:p>
    <w:p w14:paraId="7C6B8889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3.5业绩要求：谈判供应商应具有</w:t>
      </w:r>
      <w:r>
        <w:rPr>
          <w:rFonts w:hint="eastAsia" w:ascii="宋体" w:hAnsi="宋体" w:eastAsia="宋体" w:cs="宋体"/>
          <w:szCs w:val="21"/>
        </w:rPr>
        <w:t>矿用液压采矿钻车</w:t>
      </w:r>
      <w:r>
        <w:rPr>
          <w:rFonts w:hint="eastAsia" w:ascii="宋体" w:hAnsi="宋体" w:cs="宋体"/>
          <w:szCs w:val="21"/>
        </w:rPr>
        <w:t>业绩（以202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 xml:space="preserve">年1月至今的合同为准，合同至少要包括：合同双方主体的基本信息页，尤其是数量一定要显示、合同约定工作内容页、合同签字页等）。 </w:t>
      </w:r>
    </w:p>
    <w:p w14:paraId="1617FC25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3.6 本项目不接受联合体投标。</w:t>
      </w:r>
    </w:p>
    <w:p w14:paraId="49F1B3EF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b/>
          <w:szCs w:val="21"/>
          <w:lang w:val="zh-CN"/>
        </w:rPr>
      </w:pPr>
      <w:r>
        <w:rPr>
          <w:rFonts w:hint="eastAsia" w:ascii="宋体" w:hAnsi="宋体" w:cs="宋体"/>
          <w:b/>
          <w:szCs w:val="21"/>
          <w:lang w:val="zh-CN"/>
        </w:rPr>
        <w:t>4.谈判文件发售办法</w:t>
      </w:r>
    </w:p>
    <w:p w14:paraId="1CC3EEFB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4.1本项目实行网上报名，网上发售电子版谈判文件。凡有意参加投标者，请于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13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2024年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27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kern w:val="0"/>
          <w:szCs w:val="21"/>
        </w:rPr>
        <w:t>登录山钢集团阳光购销平台（http://bams.shansteelgroup.com/）,报名并购买下载电子版谈判文件。</w:t>
      </w:r>
    </w:p>
    <w:p w14:paraId="47ADA774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72557508"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4.3 谈判文件每包售</w:t>
      </w:r>
      <w:r>
        <w:rPr>
          <w:rFonts w:hint="eastAsia" w:ascii="宋体" w:hAnsi="宋体" w:cs="宋体"/>
          <w:color w:val="FF0000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FF0000"/>
          <w:kern w:val="0"/>
          <w:szCs w:val="21"/>
          <w:u w:val="single"/>
        </w:rPr>
        <w:t>00</w:t>
      </w:r>
      <w:r>
        <w:rPr>
          <w:rFonts w:hint="eastAsia" w:ascii="宋体" w:hAnsi="宋体" w:cs="宋体"/>
          <w:kern w:val="0"/>
          <w:szCs w:val="21"/>
        </w:rPr>
        <w:t>元，售后不退；从谈判供应商基本账户电汇或转账到采购人账户，并在银行汇款或转账备注栏中注明</w:t>
      </w:r>
      <w:r>
        <w:rPr>
          <w:rFonts w:hint="eastAsia" w:ascii="宋体" w:hAnsi="宋体" w:cs="宋体"/>
          <w:b/>
          <w:kern w:val="0"/>
          <w:szCs w:val="21"/>
        </w:rPr>
        <w:t>投标项目编号(后四位)及款项性质（标书费）</w:t>
      </w:r>
      <w:r>
        <w:rPr>
          <w:rFonts w:hint="eastAsia" w:ascii="宋体" w:hAnsi="宋体" w:cs="宋体"/>
          <w:kern w:val="0"/>
          <w:szCs w:val="21"/>
        </w:rPr>
        <w:t>；否则，采购人有权不予确认，由此引起的后果由潜在谈判供应商承担。</w:t>
      </w:r>
    </w:p>
    <w:p w14:paraId="7B0BC48F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账 户 名：山东金召矿业有限公司   </w:t>
      </w:r>
    </w:p>
    <w:p w14:paraId="5F7C9987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银行账号： 1603065809200015622</w:t>
      </w:r>
    </w:p>
    <w:p w14:paraId="055D474D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开户银行：中国工商银行股份有限公司淄博高新华侨城支行</w:t>
      </w:r>
    </w:p>
    <w:p w14:paraId="03A9803F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4.4 谈判供应商缴纳标书费后，采购人将在二个工作日内完成费用确认。确认完成后，谈判供应商可登录山钢集团阳光购销平台下载谈判文件。</w:t>
      </w:r>
    </w:p>
    <w:p w14:paraId="6BCF3FF8"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4.5 谈判供应商如需开具标书费发票，须将开票信息（含单位名称、纳税人识别号、地址电话、开户行及账号）、发票类型（增值税专用发票/增值税普通发票）、费用转账记录等材料，发送至电子邮箱：jlkyzbb@163.com。</w:t>
      </w:r>
    </w:p>
    <w:p w14:paraId="0F5355ED">
      <w:pPr>
        <w:spacing w:line="480" w:lineRule="auto"/>
        <w:ind w:firstLine="42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4.6 本项目不接受未购买本谈判文件的供应商投标。</w:t>
      </w:r>
    </w:p>
    <w:p w14:paraId="491FCF19">
      <w:pPr>
        <w:spacing w:line="480" w:lineRule="auto"/>
        <w:ind w:firstLine="422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</w:rPr>
        <w:t>5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.</w:t>
      </w:r>
      <w:r>
        <w:rPr>
          <w:rFonts w:hint="eastAsia" w:ascii="宋体" w:hAnsi="宋体" w:cs="宋体"/>
          <w:b/>
          <w:color w:val="000000"/>
          <w:szCs w:val="21"/>
          <w:lang w:val="zh-CN"/>
        </w:rPr>
        <w:t>响应文件的递交</w:t>
      </w:r>
    </w:p>
    <w:p w14:paraId="676F2B44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5.1谈判响应文件递交截止时间（开标时间）、地点。</w:t>
      </w:r>
    </w:p>
    <w:p w14:paraId="69A01120">
      <w:pPr>
        <w:spacing w:line="480" w:lineRule="auto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5.1.1谈判响应文件递交截止时间(开标时间)：</w:t>
      </w:r>
      <w:r>
        <w:rPr>
          <w:rFonts w:hint="eastAsia" w:ascii="宋体" w:hAnsi="宋体" w:cs="宋体"/>
          <w:b/>
          <w:bCs/>
          <w:color w:val="FF0000"/>
          <w:szCs w:val="21"/>
        </w:rPr>
        <w:t>202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szCs w:val="21"/>
        </w:rPr>
        <w:t>年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szCs w:val="21"/>
        </w:rPr>
        <w:t>月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szCs w:val="21"/>
        </w:rPr>
        <w:t>日09:00</w:t>
      </w:r>
      <w:r>
        <w:rPr>
          <w:rFonts w:hint="eastAsia" w:ascii="宋体" w:hAnsi="宋体" w:cs="宋体"/>
        </w:rPr>
        <w:t>。</w:t>
      </w:r>
    </w:p>
    <w:p w14:paraId="1A31B8E8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5.1.2开标地点：</w:t>
      </w:r>
      <w:r>
        <w:rPr>
          <w:rFonts w:hint="eastAsia" w:ascii="宋体" w:hAnsi="宋体" w:cs="宋体"/>
          <w:lang w:eastAsia="zh-CN"/>
        </w:rPr>
        <w:t>山东金岭矿业股份有限公司科创中心</w:t>
      </w:r>
      <w:r>
        <w:rPr>
          <w:rFonts w:hint="eastAsia" w:ascii="宋体" w:hAnsi="宋体" w:cs="宋体"/>
        </w:rPr>
        <w:t>三楼开标室</w:t>
      </w:r>
      <w:r>
        <w:rPr>
          <w:rFonts w:hint="eastAsia" w:ascii="宋体" w:hAnsi="宋体" w:cs="宋体"/>
          <w:szCs w:val="21"/>
        </w:rPr>
        <w:t>。</w:t>
      </w:r>
    </w:p>
    <w:p w14:paraId="6577B7B0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</w:t>
      </w:r>
      <w:r>
        <w:rPr>
          <w:rFonts w:hint="eastAsia" w:ascii="宋体" w:hAnsi="宋体" w:cs="宋体"/>
          <w:kern w:val="0"/>
          <w:szCs w:val="21"/>
        </w:rPr>
        <w:t>谈判供应商</w:t>
      </w:r>
      <w:r>
        <w:rPr>
          <w:rFonts w:hint="eastAsia" w:ascii="宋体" w:hAnsi="宋体" w:cs="宋体"/>
          <w:szCs w:val="21"/>
        </w:rPr>
        <w:t>递交响应文件应按照谈判文件的要求进行。</w:t>
      </w:r>
    </w:p>
    <w:p w14:paraId="1E6D71B3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5.3逾期送达的、未送达指定地点的或者不按照谈判文件要求密封的响应文件，采购人将予以拒收。</w:t>
      </w:r>
    </w:p>
    <w:p w14:paraId="7A439AD7">
      <w:pPr>
        <w:spacing w:line="480" w:lineRule="auto"/>
        <w:ind w:firstLine="420"/>
        <w:rPr>
          <w:rFonts w:ascii="宋体" w:hAnsi="宋体" w:cs="宋体"/>
          <w:b/>
          <w:bCs/>
          <w:szCs w:val="21"/>
        </w:rPr>
      </w:pPr>
      <w:bookmarkStart w:id="0" w:name="_Toc392227734"/>
      <w:bookmarkStart w:id="1" w:name="_Toc3041"/>
      <w:bookmarkStart w:id="2" w:name="_Toc20031"/>
      <w:r>
        <w:rPr>
          <w:rFonts w:hint="eastAsia" w:ascii="宋体" w:hAnsi="宋体" w:cs="宋体"/>
          <w:b/>
          <w:bCs/>
          <w:szCs w:val="21"/>
        </w:rPr>
        <w:t>5.4本项目采用</w:t>
      </w:r>
      <w:r>
        <w:rPr>
          <w:rFonts w:hint="eastAsia" w:ascii="宋体" w:hAnsi="宋体" w:cs="宋体"/>
          <w:b/>
          <w:bCs/>
          <w:color w:val="FF0000"/>
          <w:szCs w:val="21"/>
        </w:rPr>
        <w:t>现场谈判方式</w:t>
      </w:r>
      <w:r>
        <w:rPr>
          <w:rFonts w:hint="eastAsia" w:ascii="宋体" w:hAnsi="宋体" w:cs="宋体"/>
          <w:b/>
          <w:bCs/>
          <w:szCs w:val="21"/>
        </w:rPr>
        <w:t>,谈判供应商必须参加现场开标活动。</w:t>
      </w:r>
    </w:p>
    <w:p w14:paraId="23D38DE1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6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.</w:t>
      </w:r>
      <w:r>
        <w:rPr>
          <w:rFonts w:hint="eastAsia" w:ascii="宋体" w:hAnsi="宋体" w:cs="宋体"/>
          <w:b/>
          <w:bCs/>
          <w:szCs w:val="21"/>
        </w:rPr>
        <w:t>发布公告的媒介</w:t>
      </w:r>
      <w:bookmarkEnd w:id="0"/>
      <w:bookmarkEnd w:id="1"/>
      <w:bookmarkEnd w:id="2"/>
    </w:p>
    <w:p w14:paraId="53A7A517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本项目谈判公告在“</w:t>
      </w:r>
      <w:r>
        <w:rPr>
          <w:rFonts w:hint="eastAsia" w:ascii="宋体" w:hAnsi="宋体" w:cs="宋体"/>
          <w:kern w:val="0"/>
          <w:szCs w:val="21"/>
        </w:rPr>
        <w:t>山钢集团阳光购销平台（http://bams.shansteelgroup.com/）</w:t>
      </w:r>
      <w:r>
        <w:rPr>
          <w:rFonts w:hint="eastAsia" w:ascii="宋体" w:hAnsi="宋体" w:cs="宋体"/>
          <w:szCs w:val="21"/>
        </w:rPr>
        <w:t>”发布。谈判公告将明确对谈判供应商的资格要求、发售谈判文件的日期和方式、投标、开标等事宜。</w:t>
      </w:r>
    </w:p>
    <w:p w14:paraId="765A1B73">
      <w:pPr>
        <w:spacing w:line="480" w:lineRule="auto"/>
        <w:ind w:firstLine="422"/>
        <w:rPr>
          <w:rFonts w:ascii="宋体" w:hAnsi="宋体" w:cs="宋体"/>
          <w:b/>
          <w:bCs/>
          <w:szCs w:val="21"/>
        </w:rPr>
      </w:pPr>
      <w:bookmarkStart w:id="3" w:name="_Toc12142"/>
      <w:bookmarkStart w:id="4" w:name="_Toc27956"/>
      <w:r>
        <w:rPr>
          <w:rFonts w:hint="eastAsia" w:ascii="宋体" w:hAnsi="宋体" w:cs="宋体"/>
          <w:b/>
          <w:bCs/>
          <w:szCs w:val="21"/>
        </w:rPr>
        <w:t>7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.</w:t>
      </w:r>
      <w:r>
        <w:rPr>
          <w:rFonts w:hint="eastAsia" w:ascii="宋体" w:hAnsi="宋体" w:cs="宋体"/>
          <w:b/>
          <w:bCs/>
          <w:szCs w:val="21"/>
        </w:rPr>
        <w:t>联系方式</w:t>
      </w:r>
      <w:bookmarkEnd w:id="3"/>
      <w:bookmarkEnd w:id="4"/>
    </w:p>
    <w:p w14:paraId="1BB8529B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联系地址：淄博市张店区中埠镇铁鹰路29号。</w:t>
      </w:r>
    </w:p>
    <w:p w14:paraId="1C4B304F">
      <w:pPr>
        <w:pStyle w:val="23"/>
        <w:spacing w:line="480" w:lineRule="auto"/>
        <w:ind w:firstLine="420"/>
        <w:rPr>
          <w:rFonts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电子邮箱：jlkyzbb@163.com</w:t>
      </w:r>
    </w:p>
    <w:p w14:paraId="58C105DA">
      <w:pPr>
        <w:spacing w:line="480" w:lineRule="auto"/>
        <w:ind w:firstLine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54"/>
        <w:tblpPr w:leftFromText="180" w:rightFromText="180" w:vertAnchor="text" w:horzAnchor="margin" w:tblpXSpec="center" w:tblpY="21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4"/>
        <w:gridCol w:w="3209"/>
        <w:gridCol w:w="2977"/>
      </w:tblGrid>
      <w:tr w14:paraId="0280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516BED8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4" w:type="dxa"/>
            <w:vAlign w:val="center"/>
          </w:tcPr>
          <w:p w14:paraId="3FB12984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3209" w:type="dxa"/>
            <w:vAlign w:val="center"/>
          </w:tcPr>
          <w:p w14:paraId="34C2141D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977" w:type="dxa"/>
            <w:vAlign w:val="center"/>
          </w:tcPr>
          <w:p w14:paraId="2CFE3333">
            <w:pPr>
              <w:spacing w:line="440" w:lineRule="exact"/>
              <w:ind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 w14:paraId="09F5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6A533EC7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 w14:paraId="1613A347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3209" w:type="dxa"/>
            <w:vAlign w:val="center"/>
          </w:tcPr>
          <w:p w14:paraId="121CB46B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王先生/宫先生</w:t>
            </w:r>
          </w:p>
        </w:tc>
        <w:tc>
          <w:tcPr>
            <w:tcW w:w="2977" w:type="dxa"/>
            <w:vAlign w:val="center"/>
          </w:tcPr>
          <w:p w14:paraId="3E26A7BC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0533-3088212/3089963</w:t>
            </w:r>
          </w:p>
        </w:tc>
      </w:tr>
      <w:tr w14:paraId="4A9C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1A2F75CC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54" w:type="dxa"/>
            <w:vAlign w:val="center"/>
          </w:tcPr>
          <w:p w14:paraId="548FB9AD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技术咨询</w:t>
            </w:r>
          </w:p>
        </w:tc>
        <w:tc>
          <w:tcPr>
            <w:tcW w:w="3209" w:type="dxa"/>
            <w:vAlign w:val="center"/>
          </w:tcPr>
          <w:p w14:paraId="5E1A22B4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董</w:t>
            </w:r>
            <w:r>
              <w:rPr>
                <w:rFonts w:hint="eastAsia" w:ascii="宋体" w:hAnsi="宋体" w:cs="宋体"/>
                <w:szCs w:val="21"/>
              </w:rPr>
              <w:t>先生</w:t>
            </w:r>
          </w:p>
        </w:tc>
        <w:tc>
          <w:tcPr>
            <w:tcW w:w="2977" w:type="dxa"/>
            <w:vAlign w:val="center"/>
          </w:tcPr>
          <w:p w14:paraId="1114C67F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15963307613</w:t>
            </w:r>
          </w:p>
        </w:tc>
      </w:tr>
      <w:tr w14:paraId="2A5D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5B3A1ECC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54" w:type="dxa"/>
            <w:vAlign w:val="center"/>
          </w:tcPr>
          <w:p w14:paraId="1656ADC0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3209" w:type="dxa"/>
            <w:vAlign w:val="center"/>
          </w:tcPr>
          <w:p w14:paraId="21376D63">
            <w:pPr>
              <w:ind w:left="-2" w:leftChars="-1" w:firstLine="33" w:firstLineChars="16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王</w:t>
            </w:r>
            <w:r>
              <w:rPr>
                <w:rFonts w:hint="eastAsia" w:ascii="宋体" w:hAnsi="宋体" w:cs="宋体"/>
                <w:szCs w:val="21"/>
              </w:rPr>
              <w:t>先生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/魏先生</w:t>
            </w:r>
          </w:p>
        </w:tc>
        <w:tc>
          <w:tcPr>
            <w:tcW w:w="2977" w:type="dxa"/>
            <w:vAlign w:val="center"/>
          </w:tcPr>
          <w:p w14:paraId="41DBD315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0533-3</w:t>
            </w:r>
            <w:bookmarkStart w:id="5" w:name="_GoBack"/>
            <w:bookmarkEnd w:id="5"/>
            <w:r>
              <w:rPr>
                <w:rFonts w:hint="eastAsia" w:ascii="宋体" w:hAnsi="宋体" w:cs="宋体"/>
                <w:szCs w:val="21"/>
                <w:lang w:val="en-US" w:eastAsia="zh-CN"/>
              </w:rPr>
              <w:t>089340/</w:t>
            </w:r>
            <w:r>
              <w:rPr>
                <w:rFonts w:hint="eastAsia" w:ascii="宋体" w:hAnsi="宋体" w:cs="宋体"/>
                <w:szCs w:val="21"/>
              </w:rPr>
              <w:t>0533-3089341</w:t>
            </w:r>
          </w:p>
        </w:tc>
      </w:tr>
      <w:tr w14:paraId="1414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 w14:paraId="52B67264">
            <w:pPr>
              <w:spacing w:line="440" w:lineRule="exact"/>
              <w:ind w:leftChars="-12" w:hanging="25" w:hangingChars="1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54" w:type="dxa"/>
            <w:vAlign w:val="center"/>
          </w:tcPr>
          <w:p w14:paraId="3495E95E">
            <w:pPr>
              <w:ind w:left="-2" w:leftChars="-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3209" w:type="dxa"/>
            <w:vAlign w:val="center"/>
          </w:tcPr>
          <w:p w14:paraId="01271FD7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5FAFD1">
            <w:pPr>
              <w:ind w:left="-2" w:leftChars="-1" w:firstLine="33" w:firstLineChars="1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0533-3089311</w:t>
            </w:r>
          </w:p>
        </w:tc>
      </w:tr>
    </w:tbl>
    <w:p w14:paraId="78521424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p w14:paraId="70E2515C">
      <w:pPr>
        <w:autoSpaceDE w:val="0"/>
        <w:autoSpaceDN w:val="0"/>
        <w:adjustRightInd w:val="0"/>
        <w:spacing w:line="540" w:lineRule="exact"/>
        <w:jc w:val="center"/>
        <w:rPr>
          <w:rFonts w:ascii="宋体" w:hAnsi="宋体" w:cs="宋体"/>
          <w:b/>
          <w:color w:val="000000"/>
          <w:sz w:val="28"/>
          <w:szCs w:val="28"/>
          <w:lang w:val="zh-CN"/>
        </w:rPr>
      </w:pPr>
    </w:p>
    <w:sectPr>
      <w:footerReference r:id="rId3" w:type="default"/>
      <w:footerReference r:id="rId4" w:type="even"/>
      <w:type w:val="oddPage"/>
      <w:pgSz w:w="11907" w:h="16840"/>
      <w:pgMar w:top="1440" w:right="882" w:bottom="1440" w:left="1588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4A71F">
    <w:pPr>
      <w:pStyle w:val="36"/>
      <w:framePr w:wrap="around" w:vAnchor="text" w:hAnchor="margin" w:xAlign="center" w:y="1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separate"/>
    </w:r>
    <w:r>
      <w:rPr>
        <w:rStyle w:val="59"/>
      </w:rPr>
      <w:t>51</w:t>
    </w:r>
    <w:r>
      <w:fldChar w:fldCharType="end"/>
    </w:r>
  </w:p>
  <w:p w14:paraId="66D1C9FE">
    <w:pPr>
      <w:pStyle w:val="3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7367">
    <w:pPr>
      <w:pStyle w:val="36"/>
      <w:framePr w:wrap="around" w:vAnchor="text" w:hAnchor="margin" w:xAlign="center" w:y="1"/>
      <w:ind w:left="240" w:firstLine="360"/>
      <w:rPr>
        <w:rStyle w:val="59"/>
      </w:rPr>
    </w:pPr>
    <w:r>
      <w:fldChar w:fldCharType="begin"/>
    </w:r>
    <w:r>
      <w:rPr>
        <w:rStyle w:val="59"/>
      </w:rPr>
      <w:instrText xml:space="preserve">PAGE  </w:instrText>
    </w:r>
    <w:r>
      <w:fldChar w:fldCharType="end"/>
    </w:r>
  </w:p>
  <w:p w14:paraId="24688D67">
    <w:pPr>
      <w:pStyle w:val="36"/>
      <w:ind w:left="240"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003FB"/>
    <w:multiLevelType w:val="singleLevel"/>
    <w:tmpl w:val="A3F003FB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WVjOTYxM2ZiMWRkZmQ2MmFlMjg4OGM1ODBhZDEifQ=="/>
  </w:docVars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7E3C"/>
    <w:rsid w:val="00082C6D"/>
    <w:rsid w:val="00083C5F"/>
    <w:rsid w:val="00084A95"/>
    <w:rsid w:val="0008553D"/>
    <w:rsid w:val="0008621B"/>
    <w:rsid w:val="0008776D"/>
    <w:rsid w:val="00087A20"/>
    <w:rsid w:val="0009007B"/>
    <w:rsid w:val="0009248A"/>
    <w:rsid w:val="000A1352"/>
    <w:rsid w:val="000A2256"/>
    <w:rsid w:val="000A34D0"/>
    <w:rsid w:val="000A54F4"/>
    <w:rsid w:val="000A5DFE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EB4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E1D9D"/>
    <w:rsid w:val="002E2A8E"/>
    <w:rsid w:val="002E3CDC"/>
    <w:rsid w:val="002E4626"/>
    <w:rsid w:val="002E7A17"/>
    <w:rsid w:val="002F0FC5"/>
    <w:rsid w:val="002F225B"/>
    <w:rsid w:val="002F7CF1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41FC"/>
    <w:rsid w:val="003243C4"/>
    <w:rsid w:val="00324492"/>
    <w:rsid w:val="0032680D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6302"/>
    <w:rsid w:val="004372B5"/>
    <w:rsid w:val="00437459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C1079"/>
    <w:rsid w:val="004C1862"/>
    <w:rsid w:val="004C209B"/>
    <w:rsid w:val="004C2CBF"/>
    <w:rsid w:val="004C618D"/>
    <w:rsid w:val="004D07D7"/>
    <w:rsid w:val="004D0F27"/>
    <w:rsid w:val="004D1152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626D"/>
    <w:rsid w:val="005574A9"/>
    <w:rsid w:val="005579B2"/>
    <w:rsid w:val="00560720"/>
    <w:rsid w:val="00560C38"/>
    <w:rsid w:val="00563DF9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D0"/>
    <w:rsid w:val="0059679F"/>
    <w:rsid w:val="005A12F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7006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4E8D"/>
    <w:rsid w:val="00660DEE"/>
    <w:rsid w:val="00661723"/>
    <w:rsid w:val="00661AB1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A73"/>
    <w:rsid w:val="007C3BA0"/>
    <w:rsid w:val="007C5273"/>
    <w:rsid w:val="007D07CA"/>
    <w:rsid w:val="007D3136"/>
    <w:rsid w:val="007D4947"/>
    <w:rsid w:val="007D78DA"/>
    <w:rsid w:val="007D7C64"/>
    <w:rsid w:val="007E092C"/>
    <w:rsid w:val="007E2008"/>
    <w:rsid w:val="007E2A0E"/>
    <w:rsid w:val="007E5859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28BA"/>
    <w:rsid w:val="00903501"/>
    <w:rsid w:val="00903B8D"/>
    <w:rsid w:val="009046D9"/>
    <w:rsid w:val="009060C1"/>
    <w:rsid w:val="009060E7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7420"/>
    <w:rsid w:val="00AD7F77"/>
    <w:rsid w:val="00AE12D5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5C15"/>
    <w:rsid w:val="00B46EC9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D1216"/>
    <w:rsid w:val="00CD4D3E"/>
    <w:rsid w:val="00CD5298"/>
    <w:rsid w:val="00CD7059"/>
    <w:rsid w:val="00CD72BD"/>
    <w:rsid w:val="00CE009F"/>
    <w:rsid w:val="00CE00A4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52C"/>
    <w:rsid w:val="00D44A28"/>
    <w:rsid w:val="00D45626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5291"/>
    <w:rsid w:val="00F21D30"/>
    <w:rsid w:val="00F2330C"/>
    <w:rsid w:val="00F2347E"/>
    <w:rsid w:val="00F23F9C"/>
    <w:rsid w:val="00F273ED"/>
    <w:rsid w:val="00F3104E"/>
    <w:rsid w:val="00F3157A"/>
    <w:rsid w:val="00F33257"/>
    <w:rsid w:val="00F34871"/>
    <w:rsid w:val="00F34A80"/>
    <w:rsid w:val="00F42162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A2571"/>
    <w:rsid w:val="00FA3AA0"/>
    <w:rsid w:val="00FA4336"/>
    <w:rsid w:val="00FA5CE6"/>
    <w:rsid w:val="00FB0F4C"/>
    <w:rsid w:val="00FB1FD9"/>
    <w:rsid w:val="00FB339A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2C4567"/>
    <w:rsid w:val="013D072F"/>
    <w:rsid w:val="014F6EFA"/>
    <w:rsid w:val="02325EFD"/>
    <w:rsid w:val="029E2DDA"/>
    <w:rsid w:val="036E354C"/>
    <w:rsid w:val="03867B84"/>
    <w:rsid w:val="03A31998"/>
    <w:rsid w:val="03BA116D"/>
    <w:rsid w:val="050B468A"/>
    <w:rsid w:val="05765E3F"/>
    <w:rsid w:val="06A82088"/>
    <w:rsid w:val="07DE75B2"/>
    <w:rsid w:val="08C25CDF"/>
    <w:rsid w:val="096D755D"/>
    <w:rsid w:val="09B839C5"/>
    <w:rsid w:val="09D309D2"/>
    <w:rsid w:val="09FE5300"/>
    <w:rsid w:val="0B7577E3"/>
    <w:rsid w:val="0CC47983"/>
    <w:rsid w:val="0CE4716F"/>
    <w:rsid w:val="0F4A1E59"/>
    <w:rsid w:val="0F79188E"/>
    <w:rsid w:val="0FB9253A"/>
    <w:rsid w:val="0FEC1E7E"/>
    <w:rsid w:val="11532090"/>
    <w:rsid w:val="11B12A00"/>
    <w:rsid w:val="11EC2700"/>
    <w:rsid w:val="1230014A"/>
    <w:rsid w:val="12411CDC"/>
    <w:rsid w:val="12703CEC"/>
    <w:rsid w:val="128D2310"/>
    <w:rsid w:val="12D9238E"/>
    <w:rsid w:val="13710123"/>
    <w:rsid w:val="13971E31"/>
    <w:rsid w:val="13EB0A89"/>
    <w:rsid w:val="146A38C3"/>
    <w:rsid w:val="14CF29BD"/>
    <w:rsid w:val="16CF5FD4"/>
    <w:rsid w:val="16E017C5"/>
    <w:rsid w:val="16F42E31"/>
    <w:rsid w:val="171971CC"/>
    <w:rsid w:val="173E7F51"/>
    <w:rsid w:val="181552F9"/>
    <w:rsid w:val="18994002"/>
    <w:rsid w:val="18B131EE"/>
    <w:rsid w:val="1928648D"/>
    <w:rsid w:val="1A350D13"/>
    <w:rsid w:val="1A471712"/>
    <w:rsid w:val="1AA61B6C"/>
    <w:rsid w:val="1AD35525"/>
    <w:rsid w:val="1BD1498D"/>
    <w:rsid w:val="1C193434"/>
    <w:rsid w:val="1C632088"/>
    <w:rsid w:val="1CDC3A83"/>
    <w:rsid w:val="1D3F4D2C"/>
    <w:rsid w:val="1D617F9C"/>
    <w:rsid w:val="1D98094F"/>
    <w:rsid w:val="1EA20851"/>
    <w:rsid w:val="1ECF5D91"/>
    <w:rsid w:val="1F811E6D"/>
    <w:rsid w:val="207713FB"/>
    <w:rsid w:val="20CB71D9"/>
    <w:rsid w:val="20E308F5"/>
    <w:rsid w:val="239A52DB"/>
    <w:rsid w:val="23A72C14"/>
    <w:rsid w:val="23CA3FA8"/>
    <w:rsid w:val="2435301D"/>
    <w:rsid w:val="24493F26"/>
    <w:rsid w:val="24533A9C"/>
    <w:rsid w:val="25A33CD2"/>
    <w:rsid w:val="26330ED9"/>
    <w:rsid w:val="2673008E"/>
    <w:rsid w:val="286A5AA9"/>
    <w:rsid w:val="29A6471A"/>
    <w:rsid w:val="2A417631"/>
    <w:rsid w:val="2AD30532"/>
    <w:rsid w:val="2BD07DBC"/>
    <w:rsid w:val="2C304230"/>
    <w:rsid w:val="2C5307F1"/>
    <w:rsid w:val="2C6E5F9B"/>
    <w:rsid w:val="2FAF2A04"/>
    <w:rsid w:val="311B3EAC"/>
    <w:rsid w:val="3183368A"/>
    <w:rsid w:val="32692E0B"/>
    <w:rsid w:val="32AC4D72"/>
    <w:rsid w:val="32BA04ED"/>
    <w:rsid w:val="32CC6311"/>
    <w:rsid w:val="33D265AA"/>
    <w:rsid w:val="356E11C0"/>
    <w:rsid w:val="382733C1"/>
    <w:rsid w:val="38B00F52"/>
    <w:rsid w:val="38D96AC7"/>
    <w:rsid w:val="390B236F"/>
    <w:rsid w:val="39191C73"/>
    <w:rsid w:val="397C7D4F"/>
    <w:rsid w:val="399C60EA"/>
    <w:rsid w:val="3A151C29"/>
    <w:rsid w:val="3A48125E"/>
    <w:rsid w:val="3B1E5C72"/>
    <w:rsid w:val="3B925195"/>
    <w:rsid w:val="3C3746A4"/>
    <w:rsid w:val="3D4B46C2"/>
    <w:rsid w:val="3E047379"/>
    <w:rsid w:val="3E2F548E"/>
    <w:rsid w:val="3E8B1271"/>
    <w:rsid w:val="3F466B09"/>
    <w:rsid w:val="3FEF491F"/>
    <w:rsid w:val="401F40BE"/>
    <w:rsid w:val="40F64C77"/>
    <w:rsid w:val="420925B0"/>
    <w:rsid w:val="423F6B73"/>
    <w:rsid w:val="42B86329"/>
    <w:rsid w:val="42BC0C0E"/>
    <w:rsid w:val="42ED14A5"/>
    <w:rsid w:val="430961EE"/>
    <w:rsid w:val="43CF66C2"/>
    <w:rsid w:val="43DC45D2"/>
    <w:rsid w:val="44682C56"/>
    <w:rsid w:val="44A41DCD"/>
    <w:rsid w:val="450F59AC"/>
    <w:rsid w:val="454C558A"/>
    <w:rsid w:val="460B1991"/>
    <w:rsid w:val="463D1431"/>
    <w:rsid w:val="46BD561A"/>
    <w:rsid w:val="46E04193"/>
    <w:rsid w:val="48133C4C"/>
    <w:rsid w:val="4874432A"/>
    <w:rsid w:val="49EB7993"/>
    <w:rsid w:val="4A8E7D7C"/>
    <w:rsid w:val="4AEE48BA"/>
    <w:rsid w:val="4C1C4650"/>
    <w:rsid w:val="4DEF5B92"/>
    <w:rsid w:val="4F692EF1"/>
    <w:rsid w:val="4F7E3995"/>
    <w:rsid w:val="4F904E8D"/>
    <w:rsid w:val="506C11C7"/>
    <w:rsid w:val="51803CD4"/>
    <w:rsid w:val="51934E87"/>
    <w:rsid w:val="51D629BC"/>
    <w:rsid w:val="52E21626"/>
    <w:rsid w:val="534742DE"/>
    <w:rsid w:val="538E1ABE"/>
    <w:rsid w:val="54BD1497"/>
    <w:rsid w:val="552E6D71"/>
    <w:rsid w:val="566702D4"/>
    <w:rsid w:val="56C10D35"/>
    <w:rsid w:val="581233E0"/>
    <w:rsid w:val="5813298C"/>
    <w:rsid w:val="58790C95"/>
    <w:rsid w:val="58B36826"/>
    <w:rsid w:val="58EE1F65"/>
    <w:rsid w:val="58F6354D"/>
    <w:rsid w:val="59647C96"/>
    <w:rsid w:val="59B46F64"/>
    <w:rsid w:val="59C321E3"/>
    <w:rsid w:val="59E55EB8"/>
    <w:rsid w:val="5A423535"/>
    <w:rsid w:val="5BC23588"/>
    <w:rsid w:val="5BF05FC8"/>
    <w:rsid w:val="5CC91117"/>
    <w:rsid w:val="5D952B03"/>
    <w:rsid w:val="5E3A101D"/>
    <w:rsid w:val="5F7D46AC"/>
    <w:rsid w:val="5F8703B8"/>
    <w:rsid w:val="60043865"/>
    <w:rsid w:val="6008658A"/>
    <w:rsid w:val="60225FD6"/>
    <w:rsid w:val="60E633FA"/>
    <w:rsid w:val="61D45FA7"/>
    <w:rsid w:val="621413A4"/>
    <w:rsid w:val="632535A7"/>
    <w:rsid w:val="63D724B7"/>
    <w:rsid w:val="657571F1"/>
    <w:rsid w:val="658A1113"/>
    <w:rsid w:val="659B7207"/>
    <w:rsid w:val="669C5DAA"/>
    <w:rsid w:val="67A809AE"/>
    <w:rsid w:val="68E400BF"/>
    <w:rsid w:val="68ED07AE"/>
    <w:rsid w:val="68F273B3"/>
    <w:rsid w:val="698E5582"/>
    <w:rsid w:val="69BC7EFA"/>
    <w:rsid w:val="6A6F5CE6"/>
    <w:rsid w:val="6B9225A7"/>
    <w:rsid w:val="6C6600CE"/>
    <w:rsid w:val="6C733422"/>
    <w:rsid w:val="6CED522B"/>
    <w:rsid w:val="6D1370AC"/>
    <w:rsid w:val="6DE34B19"/>
    <w:rsid w:val="6F8B7561"/>
    <w:rsid w:val="70037CD8"/>
    <w:rsid w:val="70634C41"/>
    <w:rsid w:val="7145038A"/>
    <w:rsid w:val="728731D4"/>
    <w:rsid w:val="72A8616F"/>
    <w:rsid w:val="72E32DBD"/>
    <w:rsid w:val="745A197D"/>
    <w:rsid w:val="76F4711F"/>
    <w:rsid w:val="77DE6F2C"/>
    <w:rsid w:val="78341959"/>
    <w:rsid w:val="794C58C4"/>
    <w:rsid w:val="79A077DF"/>
    <w:rsid w:val="7AF56AE4"/>
    <w:rsid w:val="7B830DE7"/>
    <w:rsid w:val="7BC902FB"/>
    <w:rsid w:val="7E1D5D2D"/>
    <w:rsid w:val="7E1F6049"/>
    <w:rsid w:val="7EE14BDA"/>
    <w:rsid w:val="7F542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6">
    <w:name w:val="Default Paragraph Font"/>
    <w:link w:val="57"/>
    <w:unhideWhenUsed/>
    <w:qFormat/>
    <w:uiPriority w:val="1"/>
  </w:style>
  <w:style w:type="table" w:default="1" w:styleId="5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3">
    <w:name w:val="index 8"/>
    <w:basedOn w:val="1"/>
    <w:next w:val="1"/>
    <w:semiHidden/>
    <w:qFormat/>
    <w:uiPriority w:val="0"/>
    <w:pPr>
      <w:ind w:left="1400" w:leftChars="1400"/>
    </w:pPr>
  </w:style>
  <w:style w:type="paragraph" w:styleId="14">
    <w:name w:val="Normal Indent"/>
    <w:basedOn w:val="1"/>
    <w:next w:val="15"/>
    <w:qFormat/>
    <w:uiPriority w:val="0"/>
    <w:pPr>
      <w:ind w:firstLine="42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16">
    <w:name w:val="index 5"/>
    <w:basedOn w:val="1"/>
    <w:next w:val="1"/>
    <w:semiHidden/>
    <w:qFormat/>
    <w:uiPriority w:val="0"/>
    <w:pPr>
      <w:ind w:left="800" w:leftChars="800"/>
    </w:pPr>
  </w:style>
  <w:style w:type="paragraph" w:styleId="17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8">
    <w:name w:val="Document Map"/>
    <w:basedOn w:val="1"/>
    <w:semiHidden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0">
    <w:name w:val="annotation text"/>
    <w:basedOn w:val="1"/>
    <w:semiHidden/>
    <w:qFormat/>
    <w:uiPriority w:val="0"/>
    <w:pPr>
      <w:jc w:val="left"/>
    </w:pPr>
  </w:style>
  <w:style w:type="paragraph" w:styleId="21">
    <w:name w:val="index 6"/>
    <w:basedOn w:val="1"/>
    <w:next w:val="1"/>
    <w:semiHidden/>
    <w:qFormat/>
    <w:uiPriority w:val="0"/>
    <w:pPr>
      <w:ind w:left="1000" w:leftChars="1000"/>
    </w:pPr>
  </w:style>
  <w:style w:type="paragraph" w:styleId="22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3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24">
    <w:name w:val="Body Text Indent"/>
    <w:basedOn w:val="1"/>
    <w:next w:val="1"/>
    <w:link w:val="7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6">
    <w:name w:val="index 4"/>
    <w:basedOn w:val="1"/>
    <w:next w:val="1"/>
    <w:semiHidden/>
    <w:qFormat/>
    <w:uiPriority w:val="0"/>
    <w:pPr>
      <w:ind w:left="600" w:leftChars="600"/>
    </w:pPr>
  </w:style>
  <w:style w:type="paragraph" w:styleId="27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8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9">
    <w:name w:val="Plain Text"/>
    <w:basedOn w:val="1"/>
    <w:next w:val="30"/>
    <w:link w:val="63"/>
    <w:qFormat/>
    <w:uiPriority w:val="0"/>
    <w:rPr>
      <w:rFonts w:ascii="宋体" w:hAnsi="Courier New"/>
    </w:rPr>
  </w:style>
  <w:style w:type="paragraph" w:styleId="3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1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32">
    <w:name w:val="index 3"/>
    <w:basedOn w:val="1"/>
    <w:next w:val="1"/>
    <w:semiHidden/>
    <w:qFormat/>
    <w:uiPriority w:val="0"/>
    <w:pPr>
      <w:ind w:left="400" w:leftChars="400"/>
    </w:pPr>
  </w:style>
  <w:style w:type="paragraph" w:styleId="33">
    <w:name w:val="Date"/>
    <w:basedOn w:val="1"/>
    <w:next w:val="1"/>
    <w:qFormat/>
    <w:uiPriority w:val="0"/>
    <w:rPr>
      <w:b/>
      <w:sz w:val="28"/>
    </w:rPr>
  </w:style>
  <w:style w:type="paragraph" w:styleId="34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5">
    <w:name w:val="Balloon Text"/>
    <w:basedOn w:val="1"/>
    <w:semiHidden/>
    <w:qFormat/>
    <w:uiPriority w:val="0"/>
    <w:rPr>
      <w:sz w:val="18"/>
      <w:szCs w:val="18"/>
    </w:rPr>
  </w:style>
  <w:style w:type="paragraph" w:styleId="3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9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40">
    <w:name w:val="index heading"/>
    <w:basedOn w:val="1"/>
    <w:next w:val="41"/>
    <w:semiHidden/>
    <w:qFormat/>
    <w:uiPriority w:val="0"/>
  </w:style>
  <w:style w:type="paragraph" w:styleId="41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4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3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4">
    <w:name w:val="index 7"/>
    <w:basedOn w:val="1"/>
    <w:next w:val="1"/>
    <w:semiHidden/>
    <w:qFormat/>
    <w:uiPriority w:val="0"/>
    <w:pPr>
      <w:ind w:left="1200" w:leftChars="1200"/>
    </w:pPr>
  </w:style>
  <w:style w:type="paragraph" w:styleId="45">
    <w:name w:val="index 9"/>
    <w:basedOn w:val="1"/>
    <w:next w:val="1"/>
    <w:semiHidden/>
    <w:qFormat/>
    <w:uiPriority w:val="0"/>
    <w:pPr>
      <w:ind w:left="1600" w:leftChars="1600"/>
    </w:pPr>
  </w:style>
  <w:style w:type="paragraph" w:styleId="46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7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8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9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1">
    <w:name w:val="index 2"/>
    <w:basedOn w:val="1"/>
    <w:next w:val="1"/>
    <w:semiHidden/>
    <w:qFormat/>
    <w:uiPriority w:val="0"/>
    <w:pPr>
      <w:ind w:left="200" w:leftChars="200"/>
    </w:pPr>
  </w:style>
  <w:style w:type="paragraph" w:styleId="52">
    <w:name w:val="annotation subject"/>
    <w:basedOn w:val="20"/>
    <w:next w:val="20"/>
    <w:semiHidden/>
    <w:qFormat/>
    <w:uiPriority w:val="0"/>
    <w:rPr>
      <w:b/>
      <w:bCs/>
    </w:rPr>
  </w:style>
  <w:style w:type="paragraph" w:styleId="53">
    <w:name w:val="Body Text First Indent 2"/>
    <w:basedOn w:val="24"/>
    <w:next w:val="1"/>
    <w:link w:val="75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">
    <w:name w:val="默认段落字体 Para Char Char Char Char"/>
    <w:basedOn w:val="1"/>
    <w:link w:val="56"/>
    <w:qFormat/>
    <w:uiPriority w:val="0"/>
  </w:style>
  <w:style w:type="character" w:styleId="58">
    <w:name w:val="Strong"/>
    <w:basedOn w:val="56"/>
    <w:qFormat/>
    <w:uiPriority w:val="0"/>
    <w:rPr>
      <w:b/>
    </w:rPr>
  </w:style>
  <w:style w:type="character" w:styleId="59">
    <w:name w:val="page number"/>
    <w:basedOn w:val="56"/>
    <w:qFormat/>
    <w:uiPriority w:val="0"/>
  </w:style>
  <w:style w:type="character" w:styleId="60">
    <w:name w:val="FollowedHyperlink"/>
    <w:basedOn w:val="56"/>
    <w:qFormat/>
    <w:uiPriority w:val="0"/>
    <w:rPr>
      <w:color w:val="800080"/>
      <w:u w:val="single"/>
    </w:rPr>
  </w:style>
  <w:style w:type="character" w:styleId="61">
    <w:name w:val="Hyperlink"/>
    <w:basedOn w:val="56"/>
    <w:qFormat/>
    <w:uiPriority w:val="99"/>
    <w:rPr>
      <w:color w:val="0000FF"/>
      <w:u w:val="single"/>
    </w:rPr>
  </w:style>
  <w:style w:type="character" w:styleId="62">
    <w:name w:val="annotation reference"/>
    <w:basedOn w:val="56"/>
    <w:semiHidden/>
    <w:qFormat/>
    <w:uiPriority w:val="0"/>
    <w:rPr>
      <w:sz w:val="21"/>
      <w:szCs w:val="21"/>
    </w:rPr>
  </w:style>
  <w:style w:type="character" w:customStyle="1" w:styleId="63">
    <w:name w:val="纯文本 Char"/>
    <w:basedOn w:val="56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4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5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6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8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9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70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7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72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7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4">
    <w:name w:val="正文文本缩进 Char"/>
    <w:basedOn w:val="56"/>
    <w:link w:val="24"/>
    <w:qFormat/>
    <w:uiPriority w:val="0"/>
    <w:rPr>
      <w:rFonts w:ascii="楷体_GB2312" w:eastAsia="楷体_GB2312"/>
      <w:kern w:val="2"/>
      <w:sz w:val="32"/>
    </w:rPr>
  </w:style>
  <w:style w:type="character" w:customStyle="1" w:styleId="75">
    <w:name w:val="正文首行缩进 2 Char"/>
    <w:basedOn w:val="74"/>
    <w:link w:val="53"/>
    <w:qFormat/>
    <w:uiPriority w:val="0"/>
  </w:style>
  <w:style w:type="paragraph" w:customStyle="1" w:styleId="7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7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f5735d83-fa23-489a-9eb9-cade99281888}">
  <ds:schemaRefs/>
</ds:datastoreItem>
</file>

<file path=customXml/itemProps2.xml><?xml version="1.0" encoding="utf-8"?>
<ds:datastoreItem xmlns:ds="http://schemas.openxmlformats.org/officeDocument/2006/customXml" ds:itemID="{7FC8E370-277E-410A-92C5-DE2C8CA5E755}">
  <ds:schemaRefs/>
</ds:datastoreItem>
</file>

<file path=customXml/itemProps3.xml><?xml version="1.0" encoding="utf-8"?>
<ds:datastoreItem xmlns:ds="http://schemas.openxmlformats.org/officeDocument/2006/customXml" ds:itemID="{9f99e80f-49d8-4354-bd66-006a6d02f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1783</Words>
  <Characters>2234</Characters>
  <Lines>157</Lines>
  <Paragraphs>44</Paragraphs>
  <TotalTime>1</TotalTime>
  <ScaleCrop>false</ScaleCrop>
  <LinksUpToDate>false</LinksUpToDate>
  <CharactersWithSpaces>2266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emperor</dc:creator>
  <cp:lastModifiedBy>高  伟</cp:lastModifiedBy>
  <cp:lastPrinted>2009-04-21T06:45:00Z</cp:lastPrinted>
  <dcterms:modified xsi:type="dcterms:W3CDTF">2026-02-12T06:18:02Z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B5C08F7B2C9E42BA9382AA267A3485EF</vt:lpwstr>
  </property>
  <property fmtid="{D5CDD505-2E9C-101B-9397-08002B2CF9AE}" pid="4" name="KSOTemplateDocerSaveRecord">
    <vt:lpwstr>eyJoZGlkIjoiNjQxYWVjOTYxM2ZiMWRkZmQ2MmFlMjg4OGM1ODBhZDEiLCJ1c2VySWQiOiIxNjkwOTMzOTg1In0=</vt:lpwstr>
  </property>
</Properties>
</file>