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442834E4">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bookmarkStart w:id="0" w:name="公告名称"/>
      <w:r>
        <w:rPr>
          <w:rFonts w:hint="eastAsia" w:ascii="方正小标宋简体" w:eastAsia="方正小标宋简体"/>
          <w:sz w:val="44"/>
          <w:szCs w:val="44"/>
          <w:lang w:val="en-US" w:eastAsia="zh-CN"/>
        </w:rPr>
        <w:t>日照公司危废物资竞卖</w:t>
      </w:r>
      <w:r>
        <w:rPr>
          <w:rFonts w:hint="default" w:ascii="方正小标宋简体" w:eastAsia="方正小标宋简体"/>
          <w:sz w:val="44"/>
          <w:szCs w:val="44"/>
          <w:lang w:val="en-US" w:eastAsia="zh-CN"/>
        </w:rPr>
        <w:t>公告202</w:t>
      </w:r>
      <w:r>
        <w:rPr>
          <w:rFonts w:hint="eastAsia" w:ascii="方正小标宋简体" w:eastAsia="方正小标宋简体"/>
          <w:sz w:val="44"/>
          <w:szCs w:val="44"/>
          <w:lang w:val="en-US" w:eastAsia="zh-CN"/>
        </w:rPr>
        <w:t>60305</w:t>
      </w:r>
      <w:bookmarkEnd w:id="0"/>
    </w:p>
    <w:p w14:paraId="6F8DD867">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p>
    <w:p w14:paraId="7CE14645">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公司一批危废物资</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6"/>
        <w:tblW w:w="10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6"/>
        <w:gridCol w:w="1005"/>
        <w:gridCol w:w="1850"/>
        <w:gridCol w:w="1908"/>
        <w:gridCol w:w="1606"/>
        <w:gridCol w:w="1455"/>
        <w:gridCol w:w="2185"/>
      </w:tblGrid>
      <w:tr w14:paraId="21C7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shd w:val="clear" w:color="auto" w:fill="auto"/>
            <w:noWrap/>
            <w:vAlign w:val="center"/>
          </w:tcPr>
          <w:p w14:paraId="1CA6D9BA">
            <w:pPr>
              <w:pageBreakBefore w:val="0"/>
              <w:widowControl/>
              <w:kinsoku/>
              <w:wordWrap/>
              <w:overflowPunct/>
              <w:topLinePunct w:val="0"/>
              <w:autoSpaceDE/>
              <w:autoSpaceDN/>
              <w:bidi w:val="0"/>
              <w:adjustRightInd/>
              <w:snapToGrid/>
              <w:spacing w:line="560" w:lineRule="exact"/>
              <w:jc w:val="center"/>
              <w:textAlignment w:val="center"/>
              <w:rPr>
                <w:rFonts w:ascii="微软雅黑" w:hAnsi="微软雅黑" w:eastAsia="微软雅黑" w:cs="微软雅黑"/>
                <w:i w:val="0"/>
                <w:iCs w:val="0"/>
                <w:color w:val="000000"/>
                <w:sz w:val="22"/>
                <w:szCs w:val="22"/>
                <w:u w:val="none"/>
              </w:rPr>
            </w:pPr>
            <w:r>
              <w:rPr>
                <w:rFonts w:hint="eastAsia" w:ascii="宋体" w:hAnsi="宋体" w:eastAsia="宋体" w:cs="宋体"/>
                <w:color w:val="000000"/>
                <w:kern w:val="0"/>
                <w:sz w:val="24"/>
                <w:szCs w:val="24"/>
                <w:lang w:bidi="ar"/>
              </w:rPr>
              <w:t>包号</w:t>
            </w:r>
          </w:p>
        </w:tc>
        <w:tc>
          <w:tcPr>
            <w:tcW w:w="1005" w:type="dxa"/>
            <w:shd w:val="clear" w:color="auto" w:fill="auto"/>
            <w:noWrap/>
            <w:vAlign w:val="center"/>
          </w:tcPr>
          <w:p w14:paraId="46AF7651">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color w:val="000000"/>
                <w:kern w:val="0"/>
                <w:sz w:val="24"/>
                <w:szCs w:val="24"/>
                <w:lang w:bidi="ar"/>
              </w:rPr>
              <w:t>合并名称</w:t>
            </w:r>
          </w:p>
        </w:tc>
        <w:tc>
          <w:tcPr>
            <w:tcW w:w="1850" w:type="dxa"/>
            <w:shd w:val="clear" w:color="auto" w:fill="auto"/>
            <w:noWrap/>
            <w:vAlign w:val="center"/>
          </w:tcPr>
          <w:p w14:paraId="1B4D2A42">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color w:val="000000"/>
                <w:kern w:val="0"/>
                <w:sz w:val="24"/>
                <w:szCs w:val="24"/>
                <w:lang w:bidi="ar"/>
              </w:rPr>
              <w:t>组分名称</w:t>
            </w:r>
          </w:p>
        </w:tc>
        <w:tc>
          <w:tcPr>
            <w:tcW w:w="1908" w:type="dxa"/>
            <w:shd w:val="clear" w:color="auto" w:fill="auto"/>
            <w:noWrap/>
            <w:vAlign w:val="center"/>
          </w:tcPr>
          <w:p w14:paraId="7F80F27F">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color w:val="000000"/>
                <w:kern w:val="0"/>
                <w:sz w:val="24"/>
                <w:szCs w:val="24"/>
                <w:lang w:bidi="ar"/>
              </w:rPr>
              <w:t>危废代码</w:t>
            </w:r>
          </w:p>
        </w:tc>
        <w:tc>
          <w:tcPr>
            <w:tcW w:w="1606" w:type="dxa"/>
            <w:shd w:val="clear" w:color="auto" w:fill="auto"/>
            <w:noWrap/>
            <w:vAlign w:val="center"/>
          </w:tcPr>
          <w:p w14:paraId="7AA0D7F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单组分</w:t>
            </w:r>
            <w:r>
              <w:rPr>
                <w:rFonts w:hint="eastAsia" w:ascii="宋体" w:hAnsi="宋体" w:eastAsia="宋体" w:cs="宋体"/>
                <w:color w:val="000000"/>
                <w:kern w:val="0"/>
                <w:sz w:val="24"/>
                <w:szCs w:val="24"/>
                <w:lang w:val="en-US" w:eastAsia="zh-CN" w:bidi="ar"/>
              </w:rPr>
              <w:t>预估</w:t>
            </w:r>
            <w:r>
              <w:rPr>
                <w:rFonts w:hint="eastAsia" w:ascii="宋体" w:hAnsi="宋体" w:eastAsia="宋体" w:cs="宋体"/>
                <w:color w:val="000000"/>
                <w:kern w:val="0"/>
                <w:sz w:val="24"/>
                <w:szCs w:val="24"/>
                <w:lang w:bidi="ar"/>
              </w:rPr>
              <w:t>重量</w:t>
            </w:r>
          </w:p>
          <w:p w14:paraId="1A8E4A31">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color w:val="000000"/>
                <w:kern w:val="0"/>
                <w:sz w:val="24"/>
                <w:szCs w:val="24"/>
                <w:lang w:bidi="ar"/>
              </w:rPr>
              <w:t>（吨）</w:t>
            </w:r>
          </w:p>
        </w:tc>
        <w:tc>
          <w:tcPr>
            <w:tcW w:w="1455" w:type="dxa"/>
            <w:shd w:val="clear" w:color="auto" w:fill="auto"/>
            <w:noWrap/>
            <w:vAlign w:val="center"/>
          </w:tcPr>
          <w:p w14:paraId="05502BA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预估</w:t>
            </w:r>
            <w:r>
              <w:rPr>
                <w:rFonts w:hint="eastAsia" w:ascii="宋体" w:hAnsi="宋体" w:eastAsia="宋体" w:cs="宋体"/>
                <w:color w:val="000000"/>
                <w:kern w:val="0"/>
                <w:sz w:val="24"/>
                <w:szCs w:val="24"/>
                <w:lang w:bidi="ar"/>
              </w:rPr>
              <w:t>总重</w:t>
            </w:r>
          </w:p>
          <w:p w14:paraId="02EAEC41">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color w:val="000000"/>
                <w:kern w:val="0"/>
                <w:sz w:val="24"/>
                <w:szCs w:val="24"/>
                <w:lang w:bidi="ar"/>
              </w:rPr>
              <w:t>（吨）</w:t>
            </w:r>
          </w:p>
        </w:tc>
        <w:tc>
          <w:tcPr>
            <w:tcW w:w="2185" w:type="dxa"/>
            <w:shd w:val="clear" w:color="auto" w:fill="auto"/>
            <w:noWrap/>
            <w:vAlign w:val="center"/>
          </w:tcPr>
          <w:p w14:paraId="4E64497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来源</w:t>
            </w:r>
          </w:p>
        </w:tc>
      </w:tr>
      <w:tr w14:paraId="603E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restart"/>
            <w:shd w:val="clear" w:color="auto" w:fill="auto"/>
            <w:noWrap/>
            <w:vAlign w:val="center"/>
          </w:tcPr>
          <w:p w14:paraId="5B4FF4D8">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restart"/>
            <w:shd w:val="clear" w:color="auto" w:fill="auto"/>
            <w:noWrap/>
            <w:vAlign w:val="center"/>
          </w:tcPr>
          <w:p w14:paraId="131EA6C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废旧填料</w:t>
            </w:r>
          </w:p>
        </w:tc>
        <w:tc>
          <w:tcPr>
            <w:tcW w:w="1850" w:type="dxa"/>
            <w:shd w:val="clear" w:color="auto" w:fill="auto"/>
            <w:noWrap/>
            <w:vAlign w:val="center"/>
          </w:tcPr>
          <w:p w14:paraId="6E8D7A91">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废氧化铝瓷球</w:t>
            </w:r>
          </w:p>
        </w:tc>
        <w:tc>
          <w:tcPr>
            <w:tcW w:w="1908" w:type="dxa"/>
            <w:shd w:val="clear" w:color="auto" w:fill="auto"/>
            <w:noWrap/>
            <w:vAlign w:val="center"/>
          </w:tcPr>
          <w:p w14:paraId="5A5E2A7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HW49 900-041-49</w:t>
            </w:r>
          </w:p>
        </w:tc>
        <w:tc>
          <w:tcPr>
            <w:tcW w:w="1606" w:type="dxa"/>
            <w:shd w:val="clear" w:color="auto" w:fill="auto"/>
            <w:noWrap/>
            <w:vAlign w:val="center"/>
          </w:tcPr>
          <w:p w14:paraId="35699E3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90</w:t>
            </w:r>
          </w:p>
        </w:tc>
        <w:tc>
          <w:tcPr>
            <w:tcW w:w="1455" w:type="dxa"/>
            <w:vMerge w:val="restart"/>
            <w:shd w:val="clear" w:color="auto" w:fill="auto"/>
            <w:noWrap/>
            <w:vAlign w:val="center"/>
          </w:tcPr>
          <w:p w14:paraId="434C9A64">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1000</w:t>
            </w:r>
          </w:p>
        </w:tc>
        <w:tc>
          <w:tcPr>
            <w:tcW w:w="2185" w:type="dxa"/>
            <w:vMerge w:val="restart"/>
            <w:shd w:val="clear" w:color="auto" w:fill="auto"/>
            <w:noWrap/>
            <w:vAlign w:val="center"/>
          </w:tcPr>
          <w:p w14:paraId="336A33C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sz w:val="24"/>
                <w:szCs w:val="24"/>
                <w:u w:val="none"/>
                <w:lang w:val="en-US" w:eastAsia="zh-CN"/>
              </w:rPr>
              <w:t>金海分公司、能源环保部</w:t>
            </w:r>
          </w:p>
        </w:tc>
      </w:tr>
      <w:tr w14:paraId="7CB5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3E95828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continue"/>
            <w:shd w:val="clear" w:color="auto" w:fill="auto"/>
            <w:noWrap/>
            <w:vAlign w:val="center"/>
          </w:tcPr>
          <w:p w14:paraId="7E59FE28">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2CC9202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废氧化铁脱硫剂</w:t>
            </w:r>
          </w:p>
        </w:tc>
        <w:tc>
          <w:tcPr>
            <w:tcW w:w="1908" w:type="dxa"/>
            <w:shd w:val="clear" w:color="auto" w:fill="auto"/>
            <w:noWrap/>
            <w:vAlign w:val="center"/>
          </w:tcPr>
          <w:p w14:paraId="2F118427">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HW49 900-041-49</w:t>
            </w:r>
          </w:p>
        </w:tc>
        <w:tc>
          <w:tcPr>
            <w:tcW w:w="1606" w:type="dxa"/>
            <w:shd w:val="clear" w:color="auto" w:fill="auto"/>
            <w:noWrap/>
            <w:vAlign w:val="center"/>
          </w:tcPr>
          <w:p w14:paraId="35CE850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910</w:t>
            </w:r>
          </w:p>
        </w:tc>
        <w:tc>
          <w:tcPr>
            <w:tcW w:w="1455" w:type="dxa"/>
            <w:vMerge w:val="continue"/>
            <w:shd w:val="clear" w:color="auto" w:fill="auto"/>
            <w:noWrap/>
            <w:vAlign w:val="center"/>
          </w:tcPr>
          <w:p w14:paraId="782E5E3B">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2185" w:type="dxa"/>
            <w:vMerge w:val="continue"/>
            <w:shd w:val="clear" w:color="auto" w:fill="auto"/>
            <w:noWrap/>
            <w:vAlign w:val="center"/>
          </w:tcPr>
          <w:p w14:paraId="1BC5C1F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r w14:paraId="5F6B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restart"/>
            <w:shd w:val="clear" w:color="auto" w:fill="auto"/>
            <w:noWrap/>
            <w:vAlign w:val="center"/>
          </w:tcPr>
          <w:p w14:paraId="50F283F7">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restart"/>
            <w:shd w:val="clear" w:color="auto" w:fill="auto"/>
            <w:noWrap/>
            <w:vAlign w:val="center"/>
          </w:tcPr>
          <w:p w14:paraId="48705B3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废矿物油</w:t>
            </w:r>
          </w:p>
        </w:tc>
        <w:tc>
          <w:tcPr>
            <w:tcW w:w="1850" w:type="dxa"/>
            <w:shd w:val="clear" w:color="auto" w:fill="auto"/>
            <w:noWrap/>
            <w:vAlign w:val="center"/>
          </w:tcPr>
          <w:p w14:paraId="0E27DB8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废矿物油</w:t>
            </w:r>
          </w:p>
        </w:tc>
        <w:tc>
          <w:tcPr>
            <w:tcW w:w="1908" w:type="dxa"/>
            <w:shd w:val="clear" w:color="auto" w:fill="auto"/>
            <w:noWrap/>
            <w:vAlign w:val="center"/>
          </w:tcPr>
          <w:p w14:paraId="5DF0FC8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HW08 900-249-08</w:t>
            </w:r>
          </w:p>
        </w:tc>
        <w:tc>
          <w:tcPr>
            <w:tcW w:w="1606" w:type="dxa"/>
            <w:shd w:val="clear" w:color="auto" w:fill="auto"/>
            <w:noWrap/>
            <w:vAlign w:val="center"/>
          </w:tcPr>
          <w:p w14:paraId="7537D6E5">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74</w:t>
            </w:r>
          </w:p>
        </w:tc>
        <w:tc>
          <w:tcPr>
            <w:tcW w:w="1455" w:type="dxa"/>
            <w:vMerge w:val="restart"/>
            <w:shd w:val="clear" w:color="auto" w:fill="auto"/>
            <w:noWrap/>
            <w:vAlign w:val="center"/>
          </w:tcPr>
          <w:p w14:paraId="12723CA2">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83</w:t>
            </w:r>
          </w:p>
        </w:tc>
        <w:tc>
          <w:tcPr>
            <w:tcW w:w="2185" w:type="dxa"/>
            <w:vMerge w:val="restart"/>
            <w:shd w:val="clear" w:color="auto" w:fill="auto"/>
            <w:noWrap/>
            <w:vAlign w:val="center"/>
          </w:tcPr>
          <w:p w14:paraId="3E91C418">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sz w:val="24"/>
                <w:szCs w:val="24"/>
                <w:u w:val="none"/>
                <w:lang w:val="en-US" w:eastAsia="zh-CN"/>
              </w:rPr>
              <w:t>各分厂</w:t>
            </w:r>
          </w:p>
        </w:tc>
      </w:tr>
      <w:tr w14:paraId="304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7B353C8F">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continue"/>
            <w:shd w:val="clear" w:color="auto" w:fill="auto"/>
            <w:noWrap/>
            <w:vAlign w:val="center"/>
          </w:tcPr>
          <w:p w14:paraId="643F496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0BA3711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废液压油</w:t>
            </w:r>
          </w:p>
        </w:tc>
        <w:tc>
          <w:tcPr>
            <w:tcW w:w="1908" w:type="dxa"/>
            <w:shd w:val="clear" w:color="auto" w:fill="auto"/>
            <w:noWrap/>
            <w:vAlign w:val="center"/>
          </w:tcPr>
          <w:p w14:paraId="0B7897A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HW08 900-218-08</w:t>
            </w:r>
          </w:p>
        </w:tc>
        <w:tc>
          <w:tcPr>
            <w:tcW w:w="1606" w:type="dxa"/>
            <w:shd w:val="clear" w:color="auto" w:fill="auto"/>
            <w:noWrap/>
            <w:vAlign w:val="center"/>
          </w:tcPr>
          <w:p w14:paraId="5850B03D">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p>
        </w:tc>
        <w:tc>
          <w:tcPr>
            <w:tcW w:w="1455" w:type="dxa"/>
            <w:vMerge w:val="continue"/>
            <w:shd w:val="clear" w:color="auto" w:fill="auto"/>
            <w:noWrap/>
            <w:vAlign w:val="center"/>
          </w:tcPr>
          <w:p w14:paraId="517A6D9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2185" w:type="dxa"/>
            <w:vMerge w:val="continue"/>
            <w:shd w:val="clear" w:color="auto" w:fill="auto"/>
            <w:noWrap/>
            <w:vAlign w:val="center"/>
          </w:tcPr>
          <w:p w14:paraId="49028E2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r w14:paraId="0F76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shd w:val="clear" w:color="auto" w:fill="auto"/>
            <w:noWrap/>
            <w:vAlign w:val="center"/>
          </w:tcPr>
          <w:p w14:paraId="2D2616B2">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shd w:val="clear" w:color="auto" w:fill="auto"/>
            <w:noWrap/>
            <w:vAlign w:val="center"/>
          </w:tcPr>
          <w:p w14:paraId="2E791FFF">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废铅酸蓄电池</w:t>
            </w:r>
          </w:p>
        </w:tc>
        <w:tc>
          <w:tcPr>
            <w:tcW w:w="1850" w:type="dxa"/>
            <w:shd w:val="clear" w:color="auto" w:fill="auto"/>
            <w:noWrap/>
            <w:vAlign w:val="center"/>
          </w:tcPr>
          <w:p w14:paraId="75A95779">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废铅酸蓄电池</w:t>
            </w:r>
          </w:p>
        </w:tc>
        <w:tc>
          <w:tcPr>
            <w:tcW w:w="1908" w:type="dxa"/>
            <w:shd w:val="clear" w:color="auto" w:fill="auto"/>
            <w:noWrap/>
            <w:vAlign w:val="center"/>
          </w:tcPr>
          <w:p w14:paraId="6B70BB5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HW31 900-052-31</w:t>
            </w:r>
          </w:p>
        </w:tc>
        <w:tc>
          <w:tcPr>
            <w:tcW w:w="1606" w:type="dxa"/>
            <w:shd w:val="clear" w:color="auto" w:fill="auto"/>
            <w:noWrap/>
            <w:vAlign w:val="center"/>
          </w:tcPr>
          <w:p w14:paraId="0B74431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28</w:t>
            </w:r>
          </w:p>
        </w:tc>
        <w:tc>
          <w:tcPr>
            <w:tcW w:w="1455" w:type="dxa"/>
            <w:shd w:val="clear" w:color="auto" w:fill="auto"/>
            <w:noWrap/>
            <w:vAlign w:val="center"/>
          </w:tcPr>
          <w:p w14:paraId="7DF66F6B">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28</w:t>
            </w:r>
          </w:p>
        </w:tc>
        <w:tc>
          <w:tcPr>
            <w:tcW w:w="2185" w:type="dxa"/>
            <w:shd w:val="clear" w:color="auto" w:fill="auto"/>
            <w:noWrap/>
            <w:vAlign w:val="center"/>
          </w:tcPr>
          <w:p w14:paraId="4CE435F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sz w:val="24"/>
                <w:szCs w:val="24"/>
                <w:u w:val="none"/>
                <w:lang w:val="en-US" w:eastAsia="zh-CN"/>
              </w:rPr>
              <w:t>各分厂</w:t>
            </w:r>
          </w:p>
        </w:tc>
      </w:tr>
      <w:tr w14:paraId="4326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restart"/>
            <w:shd w:val="clear" w:color="auto" w:fill="auto"/>
            <w:noWrap/>
            <w:vAlign w:val="center"/>
          </w:tcPr>
          <w:p w14:paraId="5BE7B6F2">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restart"/>
            <w:shd w:val="clear" w:color="auto" w:fill="auto"/>
            <w:noWrap/>
            <w:vAlign w:val="center"/>
          </w:tcPr>
          <w:p w14:paraId="2C2850C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废水站污泥</w:t>
            </w:r>
          </w:p>
        </w:tc>
        <w:tc>
          <w:tcPr>
            <w:tcW w:w="1850" w:type="dxa"/>
            <w:shd w:val="clear" w:color="auto" w:fill="auto"/>
            <w:noWrap/>
            <w:vAlign w:val="center"/>
          </w:tcPr>
          <w:p w14:paraId="7EC0813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废含铬钝化液</w:t>
            </w:r>
          </w:p>
        </w:tc>
        <w:tc>
          <w:tcPr>
            <w:tcW w:w="1908" w:type="dxa"/>
            <w:shd w:val="clear" w:color="auto" w:fill="auto"/>
            <w:noWrap/>
            <w:vAlign w:val="center"/>
          </w:tcPr>
          <w:p w14:paraId="6456617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HW17 336-064-17</w:t>
            </w:r>
          </w:p>
        </w:tc>
        <w:tc>
          <w:tcPr>
            <w:tcW w:w="1606" w:type="dxa"/>
            <w:shd w:val="clear" w:color="auto" w:fill="auto"/>
            <w:noWrap/>
            <w:vAlign w:val="center"/>
          </w:tcPr>
          <w:p w14:paraId="794B2CE6">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w:t>
            </w:r>
          </w:p>
        </w:tc>
        <w:tc>
          <w:tcPr>
            <w:tcW w:w="1455" w:type="dxa"/>
            <w:vMerge w:val="restart"/>
            <w:shd w:val="clear" w:color="auto" w:fill="auto"/>
            <w:noWrap/>
            <w:vAlign w:val="center"/>
          </w:tcPr>
          <w:p w14:paraId="45346289">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513.5</w:t>
            </w:r>
          </w:p>
        </w:tc>
        <w:tc>
          <w:tcPr>
            <w:tcW w:w="2185" w:type="dxa"/>
            <w:vMerge w:val="restart"/>
            <w:shd w:val="clear" w:color="auto" w:fill="auto"/>
            <w:noWrap/>
            <w:vAlign w:val="center"/>
          </w:tcPr>
          <w:p w14:paraId="2D20A4E9">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i w:val="0"/>
                <w:iCs w:val="0"/>
                <w:color w:val="000000"/>
                <w:kern w:val="2"/>
                <w:sz w:val="24"/>
                <w:szCs w:val="24"/>
                <w:u w:val="none"/>
                <w:lang w:val="en-US" w:eastAsia="zh-CN" w:bidi="ar-SA"/>
              </w:rPr>
              <w:t>炼铁厂、炼钢厂、中厚板厂、冷轧厂、热轧厂</w:t>
            </w:r>
          </w:p>
        </w:tc>
      </w:tr>
      <w:tr w14:paraId="225C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2C8DE4A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continue"/>
            <w:shd w:val="clear" w:color="auto" w:fill="auto"/>
            <w:noWrap/>
            <w:vAlign w:val="center"/>
          </w:tcPr>
          <w:p w14:paraId="1C1DBC5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70389017">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废润滑油</w:t>
            </w:r>
          </w:p>
        </w:tc>
        <w:tc>
          <w:tcPr>
            <w:tcW w:w="1908" w:type="dxa"/>
            <w:shd w:val="clear" w:color="auto" w:fill="auto"/>
            <w:noWrap/>
            <w:vAlign w:val="center"/>
          </w:tcPr>
          <w:p w14:paraId="4197E554">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HW08 900-217-08</w:t>
            </w:r>
          </w:p>
        </w:tc>
        <w:tc>
          <w:tcPr>
            <w:tcW w:w="1606" w:type="dxa"/>
            <w:shd w:val="clear" w:color="auto" w:fill="auto"/>
            <w:noWrap/>
            <w:vAlign w:val="center"/>
          </w:tcPr>
          <w:p w14:paraId="06FE0BBB">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43</w:t>
            </w:r>
          </w:p>
        </w:tc>
        <w:tc>
          <w:tcPr>
            <w:tcW w:w="1455" w:type="dxa"/>
            <w:vMerge w:val="continue"/>
            <w:shd w:val="clear" w:color="auto" w:fill="auto"/>
            <w:noWrap/>
            <w:vAlign w:val="center"/>
          </w:tcPr>
          <w:p w14:paraId="6DAB4106">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2185" w:type="dxa"/>
            <w:vMerge w:val="continue"/>
            <w:shd w:val="clear" w:color="auto" w:fill="auto"/>
            <w:noWrap/>
            <w:vAlign w:val="center"/>
          </w:tcPr>
          <w:p w14:paraId="22651E3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r w14:paraId="5DC8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4E91E26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continue"/>
            <w:shd w:val="clear" w:color="auto" w:fill="auto"/>
            <w:noWrap/>
            <w:vAlign w:val="center"/>
          </w:tcPr>
          <w:p w14:paraId="2D24D80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272563B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废轧制油及油泥</w:t>
            </w:r>
          </w:p>
        </w:tc>
        <w:tc>
          <w:tcPr>
            <w:tcW w:w="1908" w:type="dxa"/>
            <w:shd w:val="clear" w:color="auto" w:fill="auto"/>
            <w:noWrap/>
            <w:vAlign w:val="center"/>
          </w:tcPr>
          <w:p w14:paraId="3657AF6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HW08 900-249-08</w:t>
            </w:r>
          </w:p>
        </w:tc>
        <w:tc>
          <w:tcPr>
            <w:tcW w:w="1606" w:type="dxa"/>
            <w:shd w:val="clear" w:color="auto" w:fill="auto"/>
            <w:noWrap/>
            <w:vAlign w:val="center"/>
          </w:tcPr>
          <w:p w14:paraId="0802759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200</w:t>
            </w:r>
          </w:p>
        </w:tc>
        <w:tc>
          <w:tcPr>
            <w:tcW w:w="1455" w:type="dxa"/>
            <w:vMerge w:val="continue"/>
            <w:shd w:val="clear" w:color="auto" w:fill="auto"/>
            <w:noWrap/>
            <w:vAlign w:val="center"/>
          </w:tcPr>
          <w:p w14:paraId="725BAE3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2185" w:type="dxa"/>
            <w:vMerge w:val="continue"/>
            <w:shd w:val="clear" w:color="auto" w:fill="auto"/>
            <w:noWrap/>
            <w:vAlign w:val="center"/>
          </w:tcPr>
          <w:p w14:paraId="5E42D1A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r w14:paraId="514F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133A2DF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continue"/>
            <w:shd w:val="clear" w:color="auto" w:fill="auto"/>
            <w:noWrap/>
            <w:vAlign w:val="center"/>
          </w:tcPr>
          <w:p w14:paraId="6CA9CB6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3597FFCB">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碱液过滤污泥</w:t>
            </w:r>
          </w:p>
        </w:tc>
        <w:tc>
          <w:tcPr>
            <w:tcW w:w="1908" w:type="dxa"/>
            <w:shd w:val="clear" w:color="auto" w:fill="auto"/>
            <w:noWrap/>
            <w:vAlign w:val="center"/>
          </w:tcPr>
          <w:p w14:paraId="31001B7B">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HW08 900-210-08</w:t>
            </w:r>
          </w:p>
        </w:tc>
        <w:tc>
          <w:tcPr>
            <w:tcW w:w="1606" w:type="dxa"/>
            <w:shd w:val="clear" w:color="auto" w:fill="auto"/>
            <w:noWrap/>
            <w:vAlign w:val="center"/>
          </w:tcPr>
          <w:p w14:paraId="07A9F96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w:t>
            </w:r>
          </w:p>
        </w:tc>
        <w:tc>
          <w:tcPr>
            <w:tcW w:w="1455" w:type="dxa"/>
            <w:vMerge w:val="continue"/>
            <w:shd w:val="clear" w:color="auto" w:fill="auto"/>
            <w:noWrap/>
            <w:vAlign w:val="center"/>
          </w:tcPr>
          <w:p w14:paraId="6836150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2185" w:type="dxa"/>
            <w:vMerge w:val="continue"/>
            <w:shd w:val="clear" w:color="auto" w:fill="auto"/>
            <w:noWrap/>
            <w:vAlign w:val="center"/>
          </w:tcPr>
          <w:p w14:paraId="0781245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r w14:paraId="2B13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4661BAB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continue"/>
            <w:shd w:val="clear" w:color="auto" w:fill="auto"/>
            <w:noWrap/>
            <w:vAlign w:val="center"/>
          </w:tcPr>
          <w:p w14:paraId="490845F4">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53404BA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冷轧工艺污水处理污泥</w:t>
            </w:r>
          </w:p>
        </w:tc>
        <w:tc>
          <w:tcPr>
            <w:tcW w:w="1908" w:type="dxa"/>
            <w:shd w:val="clear" w:color="auto" w:fill="auto"/>
            <w:noWrap/>
            <w:vAlign w:val="center"/>
          </w:tcPr>
          <w:p w14:paraId="7AC4F04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HW08 900-210-08</w:t>
            </w:r>
          </w:p>
        </w:tc>
        <w:tc>
          <w:tcPr>
            <w:tcW w:w="1606" w:type="dxa"/>
            <w:shd w:val="clear" w:color="auto" w:fill="auto"/>
            <w:noWrap/>
            <w:vAlign w:val="center"/>
          </w:tcPr>
          <w:p w14:paraId="22D46ED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200</w:t>
            </w:r>
          </w:p>
        </w:tc>
        <w:tc>
          <w:tcPr>
            <w:tcW w:w="1455" w:type="dxa"/>
            <w:vMerge w:val="continue"/>
            <w:shd w:val="clear" w:color="auto" w:fill="auto"/>
            <w:noWrap/>
            <w:vAlign w:val="center"/>
          </w:tcPr>
          <w:p w14:paraId="0CFE936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2185" w:type="dxa"/>
            <w:vMerge w:val="continue"/>
            <w:shd w:val="clear" w:color="auto" w:fill="auto"/>
            <w:noWrap/>
            <w:vAlign w:val="center"/>
          </w:tcPr>
          <w:p w14:paraId="3D7EF28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r w14:paraId="7EE6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54369A67">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continue"/>
            <w:shd w:val="clear" w:color="auto" w:fill="auto"/>
            <w:noWrap/>
            <w:vAlign w:val="center"/>
          </w:tcPr>
          <w:p w14:paraId="24FE54B9">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6319C1E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实验室废液</w:t>
            </w:r>
          </w:p>
        </w:tc>
        <w:tc>
          <w:tcPr>
            <w:tcW w:w="1908" w:type="dxa"/>
            <w:shd w:val="clear" w:color="auto" w:fill="auto"/>
            <w:noWrap/>
            <w:vAlign w:val="center"/>
          </w:tcPr>
          <w:p w14:paraId="2AF87B1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HW49 900-047-49</w:t>
            </w:r>
          </w:p>
        </w:tc>
        <w:tc>
          <w:tcPr>
            <w:tcW w:w="1606" w:type="dxa"/>
            <w:shd w:val="clear" w:color="auto" w:fill="auto"/>
            <w:noWrap/>
            <w:vAlign w:val="center"/>
          </w:tcPr>
          <w:p w14:paraId="26D4F0E1">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0.5</w:t>
            </w:r>
          </w:p>
        </w:tc>
        <w:tc>
          <w:tcPr>
            <w:tcW w:w="1455" w:type="dxa"/>
            <w:vMerge w:val="continue"/>
            <w:shd w:val="clear" w:color="auto" w:fill="auto"/>
            <w:noWrap/>
            <w:vAlign w:val="center"/>
          </w:tcPr>
          <w:p w14:paraId="3AAFAC76">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2185" w:type="dxa"/>
            <w:vMerge w:val="continue"/>
            <w:shd w:val="clear" w:color="auto" w:fill="auto"/>
            <w:noWrap/>
            <w:vAlign w:val="center"/>
          </w:tcPr>
          <w:p w14:paraId="7FC7263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r w14:paraId="22E9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6E3380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1005" w:type="dxa"/>
            <w:vMerge w:val="continue"/>
            <w:shd w:val="clear" w:color="auto" w:fill="auto"/>
            <w:noWrap/>
            <w:vAlign w:val="center"/>
          </w:tcPr>
          <w:p w14:paraId="742E51D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21DF75BF">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沾染</w:t>
            </w:r>
            <w:r>
              <w:rPr>
                <w:rFonts w:hint="eastAsia" w:ascii="宋体" w:hAnsi="宋体" w:cs="宋体"/>
                <w:color w:val="000000"/>
                <w:kern w:val="0"/>
                <w:sz w:val="24"/>
                <w:szCs w:val="24"/>
                <w:lang w:val="en-US" w:eastAsia="zh-CN" w:bidi="ar"/>
              </w:rPr>
              <w:t>、</w:t>
            </w:r>
            <w:bookmarkStart w:id="12" w:name="_GoBack"/>
            <w:bookmarkEnd w:id="12"/>
            <w:r>
              <w:rPr>
                <w:rFonts w:hint="eastAsia" w:ascii="宋体" w:hAnsi="宋体" w:eastAsia="宋体" w:cs="宋体"/>
                <w:color w:val="000000"/>
                <w:kern w:val="0"/>
                <w:sz w:val="24"/>
                <w:szCs w:val="24"/>
                <w:lang w:val="en-US" w:eastAsia="zh-CN" w:bidi="ar"/>
              </w:rPr>
              <w:t>过滤油类物废物</w:t>
            </w:r>
          </w:p>
        </w:tc>
        <w:tc>
          <w:tcPr>
            <w:tcW w:w="1908" w:type="dxa"/>
            <w:shd w:val="clear" w:color="auto" w:fill="auto"/>
            <w:noWrap/>
            <w:vAlign w:val="center"/>
          </w:tcPr>
          <w:p w14:paraId="78E6DEB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HW49 900-041-49</w:t>
            </w:r>
          </w:p>
        </w:tc>
        <w:tc>
          <w:tcPr>
            <w:tcW w:w="1606" w:type="dxa"/>
            <w:shd w:val="clear" w:color="auto" w:fill="auto"/>
            <w:noWrap/>
            <w:vAlign w:val="center"/>
          </w:tcPr>
          <w:p w14:paraId="1B2D7EA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w:t>
            </w:r>
          </w:p>
        </w:tc>
        <w:tc>
          <w:tcPr>
            <w:tcW w:w="1455" w:type="dxa"/>
            <w:vMerge w:val="continue"/>
            <w:shd w:val="clear" w:color="auto" w:fill="auto"/>
            <w:noWrap/>
            <w:vAlign w:val="center"/>
          </w:tcPr>
          <w:p w14:paraId="5B98FB47">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2185" w:type="dxa"/>
            <w:vMerge w:val="continue"/>
            <w:shd w:val="clear" w:color="auto" w:fill="auto"/>
            <w:noWrap/>
            <w:vAlign w:val="center"/>
          </w:tcPr>
          <w:p w14:paraId="191EA0C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r w14:paraId="30C4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restart"/>
            <w:shd w:val="clear" w:color="auto" w:fill="auto"/>
            <w:noWrap/>
            <w:vAlign w:val="center"/>
          </w:tcPr>
          <w:p w14:paraId="76B56BE5">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sz w:val="22"/>
                <w:szCs w:val="22"/>
                <w:u w:val="none"/>
              </w:rPr>
            </w:pPr>
          </w:p>
        </w:tc>
        <w:tc>
          <w:tcPr>
            <w:tcW w:w="1005" w:type="dxa"/>
            <w:vMerge w:val="restart"/>
            <w:shd w:val="clear" w:color="auto" w:fill="auto"/>
            <w:noWrap/>
            <w:vAlign w:val="center"/>
          </w:tcPr>
          <w:p w14:paraId="411E0B3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沾染油废物</w:t>
            </w:r>
          </w:p>
        </w:tc>
        <w:tc>
          <w:tcPr>
            <w:tcW w:w="1850" w:type="dxa"/>
            <w:shd w:val="clear" w:color="auto" w:fill="auto"/>
            <w:noWrap/>
            <w:vAlign w:val="center"/>
          </w:tcPr>
          <w:p w14:paraId="4049F98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废油漆</w:t>
            </w:r>
          </w:p>
        </w:tc>
        <w:tc>
          <w:tcPr>
            <w:tcW w:w="1908" w:type="dxa"/>
            <w:shd w:val="clear" w:color="auto" w:fill="auto"/>
            <w:noWrap/>
            <w:vAlign w:val="center"/>
          </w:tcPr>
          <w:p w14:paraId="45D18D27">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HW12 900-299-12</w:t>
            </w:r>
          </w:p>
        </w:tc>
        <w:tc>
          <w:tcPr>
            <w:tcW w:w="1606" w:type="dxa"/>
            <w:shd w:val="clear" w:color="auto" w:fill="auto"/>
            <w:noWrap/>
            <w:vAlign w:val="center"/>
          </w:tcPr>
          <w:p w14:paraId="4CD9F144">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1455" w:type="dxa"/>
            <w:vMerge w:val="restart"/>
            <w:shd w:val="clear" w:color="auto" w:fill="auto"/>
            <w:noWrap/>
            <w:vAlign w:val="center"/>
          </w:tcPr>
          <w:p w14:paraId="203B0FD4">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w:t>
            </w:r>
          </w:p>
        </w:tc>
        <w:tc>
          <w:tcPr>
            <w:tcW w:w="2185" w:type="dxa"/>
            <w:vMerge w:val="restart"/>
            <w:shd w:val="clear" w:color="auto" w:fill="auto"/>
            <w:noWrap/>
            <w:vAlign w:val="center"/>
          </w:tcPr>
          <w:p w14:paraId="187A0B7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sz w:val="24"/>
                <w:szCs w:val="24"/>
                <w:u w:val="none"/>
                <w:lang w:val="en-US" w:eastAsia="zh-CN"/>
              </w:rPr>
              <w:t>各分厂</w:t>
            </w:r>
          </w:p>
        </w:tc>
      </w:tr>
      <w:tr w14:paraId="12AD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0AD38B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1005" w:type="dxa"/>
            <w:vMerge w:val="continue"/>
            <w:shd w:val="clear" w:color="auto" w:fill="auto"/>
            <w:noWrap/>
            <w:vAlign w:val="center"/>
          </w:tcPr>
          <w:p w14:paraId="27E5203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41412E6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沾染</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过滤油类物废物</w:t>
            </w:r>
          </w:p>
        </w:tc>
        <w:tc>
          <w:tcPr>
            <w:tcW w:w="1908" w:type="dxa"/>
            <w:shd w:val="clear" w:color="auto" w:fill="auto"/>
            <w:noWrap/>
            <w:vAlign w:val="center"/>
          </w:tcPr>
          <w:p w14:paraId="0B89AEB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HW49 900-041-49</w:t>
            </w:r>
          </w:p>
        </w:tc>
        <w:tc>
          <w:tcPr>
            <w:tcW w:w="1606" w:type="dxa"/>
            <w:shd w:val="clear" w:color="auto" w:fill="auto"/>
            <w:noWrap/>
            <w:vAlign w:val="center"/>
          </w:tcPr>
          <w:p w14:paraId="4762D829">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w:t>
            </w:r>
          </w:p>
        </w:tc>
        <w:tc>
          <w:tcPr>
            <w:tcW w:w="1455" w:type="dxa"/>
            <w:vMerge w:val="continue"/>
            <w:shd w:val="clear" w:color="auto" w:fill="auto"/>
            <w:noWrap/>
            <w:vAlign w:val="center"/>
          </w:tcPr>
          <w:p w14:paraId="20A3613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2185" w:type="dxa"/>
            <w:vMerge w:val="continue"/>
            <w:shd w:val="clear" w:color="auto" w:fill="auto"/>
            <w:noWrap/>
            <w:vAlign w:val="center"/>
          </w:tcPr>
          <w:p w14:paraId="4317422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bl>
    <w:p w14:paraId="6B9E1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重量单位为吨，为预估数量，以拍卖方的实际出库的重量为准，不接受由于预估数量差异或货品指标差异而产生的任何异议。</w:t>
      </w:r>
      <w:r>
        <w:rPr>
          <w:rFonts w:hint="eastAsia" w:ascii="黑体" w:hAnsi="黑体" w:eastAsia="黑体" w:cs="黑体"/>
          <w:color w:val="auto"/>
          <w:kern w:val="0"/>
          <w:sz w:val="28"/>
          <w:szCs w:val="28"/>
          <w:em w:val="dot"/>
          <w:lang w:val="en-US" w:eastAsia="zh-CN"/>
        </w:rPr>
        <w:t>注意，各标的废旧物资须以整体报价，不进行除杂</w:t>
      </w:r>
      <w:r>
        <w:rPr>
          <w:rFonts w:hint="eastAsia" w:ascii="黑体" w:hAnsi="黑体" w:eastAsia="黑体" w:cs="黑体"/>
          <w:color w:val="auto"/>
          <w:kern w:val="0"/>
          <w:sz w:val="28"/>
          <w:szCs w:val="28"/>
          <w:lang w:val="en-US" w:eastAsia="zh-CN"/>
        </w:rPr>
        <w:t>。不出具质保书、不受理异议。资源储存在山东钢铁集团日照有限公司各分厂。</w:t>
      </w:r>
    </w:p>
    <w:p w14:paraId="2EA04111">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rPr>
        <w:t>每次派车两种</w:t>
      </w:r>
      <w:r>
        <w:rPr>
          <w:rFonts w:hint="eastAsia" w:ascii="黑体" w:hAnsi="黑体" w:eastAsia="黑体" w:cs="黑体"/>
          <w:b w:val="0"/>
          <w:bCs/>
          <w:kern w:val="0"/>
          <w:sz w:val="28"/>
          <w:szCs w:val="28"/>
          <w:lang w:val="en-US" w:eastAsia="zh-CN"/>
        </w:rPr>
        <w:t>及以上</w:t>
      </w:r>
      <w:r>
        <w:rPr>
          <w:rFonts w:hint="eastAsia" w:ascii="黑体" w:hAnsi="黑体" w:eastAsia="黑体" w:cs="黑体"/>
          <w:b w:val="0"/>
          <w:bCs/>
          <w:kern w:val="0"/>
          <w:sz w:val="28"/>
          <w:szCs w:val="28"/>
        </w:rPr>
        <w:t>货品一并转移</w:t>
      </w:r>
      <w:r>
        <w:rPr>
          <w:rFonts w:hint="eastAsia" w:ascii="黑体" w:hAnsi="黑体" w:eastAsia="黑体" w:cs="黑体"/>
          <w:b w:val="0"/>
          <w:bCs/>
          <w:kern w:val="0"/>
          <w:sz w:val="28"/>
          <w:szCs w:val="28"/>
          <w:lang w:val="en-US" w:eastAsia="zh-CN"/>
        </w:rPr>
        <w:t>的</w:t>
      </w:r>
      <w:r>
        <w:rPr>
          <w:rFonts w:hint="eastAsia" w:ascii="黑体" w:hAnsi="黑体" w:eastAsia="黑体" w:cs="黑体"/>
          <w:b w:val="0"/>
          <w:bCs/>
          <w:kern w:val="0"/>
          <w:sz w:val="28"/>
          <w:szCs w:val="28"/>
        </w:rPr>
        <w:t>，分别开具联单。</w:t>
      </w:r>
    </w:p>
    <w:p w14:paraId="7E8F300D">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危废对应产生期限为：2026年4月1日至2026年6月30日。</w:t>
      </w:r>
    </w:p>
    <w:p w14:paraId="11505233">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沾染油废物</w:t>
      </w:r>
      <w:r>
        <w:rPr>
          <w:rFonts w:hint="eastAsia" w:ascii="黑体" w:hAnsi="黑体" w:eastAsia="黑体" w:cs="黑体"/>
          <w:b w:val="0"/>
          <w:bCs/>
          <w:kern w:val="0"/>
          <w:sz w:val="28"/>
          <w:szCs w:val="28"/>
        </w:rPr>
        <w:t>原则上要求满40件（袋/桶）进行一次转移，每次约6-8吨，数量仅为预估数量，包装物一并转移。此标段涉及的废物包含但不限于我司</w:t>
      </w:r>
      <w:r>
        <w:rPr>
          <w:rFonts w:hint="eastAsia" w:ascii="黑体" w:hAnsi="黑体" w:eastAsia="黑体" w:cs="黑体"/>
          <w:b w:val="0"/>
          <w:bCs/>
          <w:kern w:val="0"/>
          <w:sz w:val="28"/>
          <w:szCs w:val="28"/>
          <w:lang w:val="en-US" w:eastAsia="zh-CN"/>
        </w:rPr>
        <w:t>金海分公司、</w:t>
      </w:r>
      <w:r>
        <w:rPr>
          <w:rFonts w:hint="eastAsia" w:ascii="黑体" w:hAnsi="黑体" w:eastAsia="黑体" w:cs="黑体"/>
          <w:b w:val="0"/>
          <w:bCs/>
          <w:kern w:val="0"/>
          <w:sz w:val="28"/>
          <w:szCs w:val="28"/>
        </w:rPr>
        <w:t>炼铁厂、中厚板厂、炼铁厂、冷轧厂、炼钢厂、热轧厂、</w:t>
      </w:r>
      <w:r>
        <w:rPr>
          <w:rFonts w:hint="eastAsia" w:ascii="黑体" w:hAnsi="黑体" w:eastAsia="黑体" w:cs="黑体"/>
          <w:b w:val="0"/>
          <w:bCs/>
          <w:kern w:val="0"/>
          <w:sz w:val="28"/>
          <w:szCs w:val="28"/>
          <w:lang w:val="en-US" w:eastAsia="zh-CN"/>
        </w:rPr>
        <w:t>能源环保部</w:t>
      </w:r>
      <w:r>
        <w:rPr>
          <w:rFonts w:hint="eastAsia" w:ascii="黑体" w:hAnsi="黑体" w:eastAsia="黑体" w:cs="黑体"/>
          <w:b w:val="0"/>
          <w:bCs/>
          <w:kern w:val="0"/>
          <w:sz w:val="28"/>
          <w:szCs w:val="28"/>
        </w:rPr>
        <w:t>等八个厂区的不同包装种类，每次拉运需要涉及到八个厂区的40个左右的装货地点，装货对接需要投标方自行协调规划。</w:t>
      </w:r>
    </w:p>
    <w:p w14:paraId="7BC13FE3">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color w:val="auto"/>
          <w:kern w:val="0"/>
          <w:sz w:val="28"/>
          <w:szCs w:val="28"/>
          <w:em w:val="dot"/>
          <w:lang w:val="en-US" w:eastAsia="zh-CN"/>
        </w:rPr>
        <w:t>废矿物油为含桶计重、报价。</w:t>
      </w:r>
    </w:p>
    <w:p w14:paraId="303C7CEB">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各包货品</w:t>
      </w:r>
      <w:r>
        <w:rPr>
          <w:rFonts w:hint="eastAsia" w:ascii="黑体" w:hAnsi="黑体" w:eastAsia="黑体" w:cs="黑体"/>
          <w:b w:val="0"/>
          <w:bCs/>
          <w:kern w:val="0"/>
          <w:sz w:val="28"/>
          <w:szCs w:val="28"/>
        </w:rPr>
        <w:t>入厂约车、过磅、出厂等需要投标方自行办理。流程问题可咨询相应客服电话。</w:t>
      </w:r>
    </w:p>
    <w:p w14:paraId="1846499B">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rPr>
        <w:t>要求</w:t>
      </w:r>
      <w:r>
        <w:rPr>
          <w:rFonts w:hint="eastAsia" w:ascii="黑体" w:hAnsi="黑体" w:eastAsia="黑体" w:cs="黑体"/>
          <w:b w:val="0"/>
          <w:bCs/>
          <w:kern w:val="0"/>
          <w:sz w:val="28"/>
          <w:szCs w:val="28"/>
          <w:lang w:val="en-US" w:eastAsia="zh-CN"/>
        </w:rPr>
        <w:t>按产生规律</w:t>
      </w:r>
      <w:r>
        <w:rPr>
          <w:rFonts w:hint="eastAsia" w:ascii="黑体" w:hAnsi="黑体" w:eastAsia="黑体" w:cs="黑体"/>
          <w:b w:val="0"/>
          <w:bCs/>
          <w:kern w:val="0"/>
          <w:sz w:val="28"/>
          <w:szCs w:val="28"/>
        </w:rPr>
        <w:t>或根据现场需求进行转移，数量仅为预估数量</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以实际产生量为准。</w:t>
      </w:r>
    </w:p>
    <w:p w14:paraId="196E1856">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在循环宝平台，公开增价模式的</w:t>
      </w:r>
      <w:r>
        <w:rPr>
          <w:rFonts w:hint="eastAsia" w:ascii="黑体" w:hAnsi="黑体" w:eastAsia="黑体" w:cs="黑体"/>
          <w:b w:val="0"/>
          <w:bCs/>
          <w:kern w:val="0"/>
          <w:sz w:val="28"/>
          <w:szCs w:val="28"/>
        </w:rPr>
        <w:t>，为买方付款</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税率为13%</w:t>
      </w:r>
      <w:r>
        <w:rPr>
          <w:rFonts w:hint="eastAsia" w:ascii="黑体" w:hAnsi="黑体" w:eastAsia="黑体" w:cs="黑体"/>
          <w:b w:val="0"/>
          <w:bCs/>
          <w:kern w:val="0"/>
          <w:sz w:val="28"/>
          <w:szCs w:val="28"/>
        </w:rPr>
        <w:t>；</w:t>
      </w:r>
      <w:r>
        <w:rPr>
          <w:rFonts w:hint="eastAsia" w:ascii="黑体" w:hAnsi="黑体" w:eastAsia="黑体" w:cs="黑体"/>
          <w:b w:val="0"/>
          <w:bCs/>
          <w:kern w:val="0"/>
          <w:sz w:val="28"/>
          <w:szCs w:val="28"/>
          <w:lang w:val="en-US" w:eastAsia="zh-CN"/>
        </w:rPr>
        <w:t>反向竞价模式</w:t>
      </w:r>
      <w:r>
        <w:rPr>
          <w:rFonts w:hint="eastAsia" w:ascii="黑体" w:hAnsi="黑体" w:eastAsia="黑体" w:cs="黑体"/>
          <w:b w:val="0"/>
          <w:bCs/>
          <w:kern w:val="0"/>
          <w:sz w:val="28"/>
          <w:szCs w:val="28"/>
        </w:rPr>
        <w:t>的，为卖方付款</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税率为6%</w:t>
      </w:r>
      <w:r>
        <w:rPr>
          <w:rFonts w:hint="eastAsia" w:ascii="黑体" w:hAnsi="黑体" w:eastAsia="黑体" w:cs="黑体"/>
          <w:b w:val="0"/>
          <w:bCs/>
          <w:kern w:val="0"/>
          <w:sz w:val="28"/>
          <w:szCs w:val="28"/>
        </w:rPr>
        <w:t>。</w:t>
      </w:r>
    </w:p>
    <w:p w14:paraId="6C427EBD">
      <w:pPr>
        <w:pStyle w:val="2"/>
        <w:pageBreakBefore w:val="0"/>
        <w:kinsoku/>
        <w:wordWrap/>
        <w:overflowPunct/>
        <w:topLinePunct w:val="0"/>
        <w:autoSpaceDE/>
        <w:autoSpaceDN/>
        <w:bidi w:val="0"/>
        <w:adjustRightInd/>
        <w:snapToGrid/>
        <w:spacing w:line="560" w:lineRule="exact"/>
      </w:pPr>
      <w:r>
        <w:rPr>
          <w:rFonts w:hint="eastAsia"/>
        </w:rPr>
        <w:t>销售方式</w:t>
      </w:r>
    </w:p>
    <w:p w14:paraId="3DAC5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rPr>
        <w:t>本批资源明细发布到欧冶</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平台（</w:t>
      </w:r>
      <w:r>
        <w:rPr>
          <w:rFonts w:hint="eastAsia" w:ascii="仿宋_GB2312" w:hAnsi="宋体" w:eastAsia="仿宋_GB2312" w:cs="仿宋_GB2312"/>
          <w:kern w:val="0"/>
          <w:sz w:val="32"/>
          <w:szCs w:val="32"/>
          <w:lang w:val="en-US" w:eastAsia="zh-CN"/>
        </w:rPr>
        <w:t>网址：</w:t>
      </w:r>
      <w:r>
        <w:rPr>
          <w:rFonts w:hint="eastAsia" w:ascii="仿宋_GB2312" w:hAnsi="宋体" w:eastAsia="仿宋_GB2312" w:cs="仿宋_GB2312"/>
          <w:kern w:val="0"/>
          <w:sz w:val="32"/>
          <w:szCs w:val="32"/>
        </w:rPr>
        <w:t>https://www.ouyeel.com/search-ng/exchange/home</w:t>
      </w:r>
      <w:r>
        <w:rPr>
          <w:rFonts w:hint="eastAsia" w:ascii="仿宋_GB2312" w:hAnsi="宋体" w:eastAsia="仿宋_GB2312" w:cs="仿宋_GB2312"/>
          <w:color w:val="auto"/>
          <w:kern w:val="0"/>
          <w:sz w:val="32"/>
          <w:szCs w:val="32"/>
        </w:rPr>
        <w:t>）进行公告</w:t>
      </w:r>
      <w:r>
        <w:rPr>
          <w:rFonts w:hint="eastAsia" w:ascii="仿宋_GB2312" w:hAnsi="宋体" w:eastAsia="仿宋_GB2312" w:cs="仿宋_GB2312"/>
          <w:color w:val="auto"/>
          <w:kern w:val="0"/>
          <w:sz w:val="32"/>
          <w:szCs w:val="32"/>
          <w:lang w:val="en-US" w:eastAsia="zh-CN"/>
        </w:rPr>
        <w:t>。竞价</w:t>
      </w:r>
      <w:r>
        <w:rPr>
          <w:rFonts w:hint="eastAsia" w:ascii="仿宋_GB2312" w:hAnsi="宋体" w:eastAsia="仿宋_GB2312" w:cs="仿宋_GB2312"/>
          <w:kern w:val="0"/>
          <w:sz w:val="32"/>
          <w:szCs w:val="32"/>
        </w:rPr>
        <w:t>成功者与销售主体签订线下合同</w:t>
      </w:r>
      <w:r>
        <w:rPr>
          <w:rFonts w:hint="eastAsia" w:ascii="仿宋_GB2312" w:hAnsi="宋体" w:eastAsia="仿宋_GB2312" w:cs="仿宋_GB2312"/>
          <w:kern w:val="0"/>
          <w:sz w:val="32"/>
          <w:szCs w:val="32"/>
          <w:lang w:eastAsia="zh-CN"/>
        </w:rPr>
        <w:t>。</w:t>
      </w:r>
    </w:p>
    <w:p w14:paraId="1B4ACBB4">
      <w:pPr>
        <w:pStyle w:val="2"/>
        <w:pageBreakBefore w:val="0"/>
        <w:kinsoku/>
        <w:wordWrap/>
        <w:overflowPunct/>
        <w:topLinePunct w:val="0"/>
        <w:autoSpaceDE/>
        <w:autoSpaceDN/>
        <w:bidi w:val="0"/>
        <w:adjustRightInd/>
        <w:snapToGrid/>
        <w:spacing w:line="560" w:lineRule="exact"/>
        <w:rPr>
          <w:rFonts w:ascii="黑体" w:hAnsi="黑体" w:eastAsia="黑体" w:cs="黑体"/>
          <w:b w:val="0"/>
          <w:bCs w:val="0"/>
          <w:kern w:val="0"/>
          <w:sz w:val="32"/>
          <w:szCs w:val="32"/>
        </w:rPr>
      </w:pPr>
      <w:r>
        <w:rPr>
          <w:rFonts w:hint="eastAsia" w:ascii="黑体" w:hAnsi="黑体" w:eastAsia="黑体" w:cs="黑体"/>
          <w:b w:val="0"/>
          <w:bCs w:val="0"/>
          <w:sz w:val="32"/>
          <w:szCs w:val="32"/>
        </w:rPr>
        <w:t>销售</w:t>
      </w:r>
      <w:r>
        <w:rPr>
          <w:rFonts w:hint="eastAsia" w:ascii="黑体" w:hAnsi="黑体" w:eastAsia="黑体" w:cs="黑体"/>
          <w:b w:val="0"/>
          <w:bCs w:val="0"/>
          <w:kern w:val="0"/>
          <w:sz w:val="32"/>
          <w:szCs w:val="32"/>
        </w:rPr>
        <w:t>价格</w:t>
      </w:r>
    </w:p>
    <w:p w14:paraId="02E5E07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本次销售为设底价</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，底价公开。底价由</w:t>
      </w:r>
      <w:r>
        <w:rPr>
          <w:rFonts w:hint="eastAsia" w:ascii="仿宋_GB2312" w:hAnsi="宋体" w:eastAsia="仿宋_GB2312" w:cs="仿宋_GB2312"/>
          <w:kern w:val="0"/>
          <w:sz w:val="32"/>
          <w:szCs w:val="32"/>
          <w:lang w:val="en-US" w:eastAsia="zh-CN"/>
        </w:rPr>
        <w:t>山钢集团日照</w:t>
      </w:r>
      <w:r>
        <w:rPr>
          <w:rFonts w:hint="eastAsia" w:ascii="仿宋_GB2312" w:hAnsi="宋体" w:eastAsia="仿宋_GB2312" w:cs="仿宋_GB2312"/>
          <w:kern w:val="0"/>
          <w:sz w:val="32"/>
          <w:szCs w:val="32"/>
        </w:rPr>
        <w:t>有限公司制定，在开始时间前公布。</w:t>
      </w:r>
      <w:r>
        <w:rPr>
          <w:rFonts w:hint="eastAsia" w:ascii="仿宋_GB2312" w:hAnsi="宋体" w:eastAsia="仿宋_GB2312" w:cs="仿宋_GB2312"/>
          <w:kern w:val="0"/>
          <w:sz w:val="32"/>
          <w:szCs w:val="32"/>
          <w:lang w:val="en-US" w:eastAsia="zh-CN"/>
        </w:rPr>
        <w:t>按照循环宝平台规则确定中标者。</w:t>
      </w:r>
    </w:p>
    <w:p w14:paraId="7C770E4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竞价</w:t>
      </w:r>
      <w:r>
        <w:rPr>
          <w:rFonts w:hint="eastAsia" w:ascii="仿宋_GB2312" w:hAnsi="宋体" w:eastAsia="仿宋_GB2312" w:cs="仿宋_GB2312"/>
          <w:kern w:val="0"/>
          <w:sz w:val="32"/>
          <w:szCs w:val="32"/>
        </w:rPr>
        <w:t>价格每次</w:t>
      </w:r>
      <w:r>
        <w:rPr>
          <w:rFonts w:hint="eastAsia" w:ascii="仿宋_GB2312" w:hAnsi="宋体" w:eastAsia="仿宋_GB2312" w:cs="仿宋_GB2312"/>
          <w:kern w:val="0"/>
          <w:sz w:val="32"/>
          <w:szCs w:val="32"/>
          <w:lang w:val="en-US" w:eastAsia="zh-CN"/>
        </w:rPr>
        <w:t>做</w:t>
      </w:r>
      <w:r>
        <w:rPr>
          <w:rFonts w:hint="eastAsia" w:ascii="仿宋_GB2312" w:hAnsi="宋体" w:eastAsia="仿宋_GB2312" w:cs="仿宋_GB2312"/>
          <w:kern w:val="0"/>
          <w:sz w:val="32"/>
          <w:szCs w:val="32"/>
        </w:rPr>
        <w:t>加价</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lang w:val="en-US" w:eastAsia="zh-CN"/>
        </w:rPr>
        <w:t>或减价</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lang w:val="en-US" w:eastAsia="zh-CN"/>
        </w:rPr>
        <w:t>调整</w:t>
      </w:r>
      <w:r>
        <w:rPr>
          <w:rFonts w:hint="eastAsia" w:ascii="仿宋_GB2312" w:hAnsi="宋体" w:eastAsia="仿宋_GB2312" w:cs="仿宋_GB2312"/>
          <w:kern w:val="0"/>
          <w:sz w:val="32"/>
          <w:szCs w:val="32"/>
        </w:rPr>
        <w:t>幅度要求</w:t>
      </w:r>
      <w:r>
        <w:rPr>
          <w:rFonts w:hint="eastAsia" w:ascii="仿宋_GB2312" w:hAnsi="宋体" w:eastAsia="仿宋_GB2312" w:cs="仿宋_GB2312"/>
          <w:kern w:val="0"/>
          <w:sz w:val="32"/>
          <w:szCs w:val="32"/>
          <w:highlight w:val="none"/>
        </w:rPr>
        <w:t>为</w:t>
      </w:r>
      <w:r>
        <w:rPr>
          <w:rFonts w:hint="eastAsia" w:ascii="仿宋_GB2312" w:hAnsi="宋体" w:eastAsia="仿宋_GB2312" w:cs="仿宋_GB2312"/>
          <w:kern w:val="0"/>
          <w:sz w:val="32"/>
          <w:szCs w:val="32"/>
          <w:highlight w:val="none"/>
          <w:em w:val="dot"/>
          <w:lang w:val="en-US" w:eastAsia="zh-CN"/>
        </w:rPr>
        <w:t>1</w:t>
      </w:r>
      <w:r>
        <w:rPr>
          <w:rFonts w:hint="eastAsia" w:ascii="仿宋_GB2312" w:hAnsi="宋体" w:eastAsia="仿宋_GB2312" w:cs="仿宋_GB2312"/>
          <w:kern w:val="0"/>
          <w:sz w:val="32"/>
          <w:szCs w:val="32"/>
          <w:highlight w:val="none"/>
          <w:em w:val="dot"/>
        </w:rPr>
        <w:t>元</w:t>
      </w:r>
      <w:r>
        <w:rPr>
          <w:rFonts w:ascii="仿宋_GB2312" w:hAnsi="宋体" w:eastAsia="仿宋_GB2312" w:cs="仿宋_GB2312"/>
          <w:kern w:val="0"/>
          <w:sz w:val="32"/>
          <w:szCs w:val="32"/>
          <w:highlight w:val="none"/>
          <w:em w:val="dot"/>
        </w:rPr>
        <w:t>/</w:t>
      </w:r>
      <w:r>
        <w:rPr>
          <w:rFonts w:hint="eastAsia" w:ascii="仿宋_GB2312" w:hAnsi="宋体" w:eastAsia="仿宋_GB2312" w:cs="仿宋_GB2312"/>
          <w:kern w:val="0"/>
          <w:sz w:val="32"/>
          <w:szCs w:val="32"/>
          <w:highlight w:val="none"/>
          <w:em w:val="dot"/>
        </w:rPr>
        <w:t>吨</w:t>
      </w:r>
      <w:r>
        <w:rPr>
          <w:rFonts w:hint="eastAsia" w:ascii="仿宋_GB2312" w:hAnsi="宋体" w:eastAsia="仿宋_GB2312" w:cs="仿宋_GB2312"/>
          <w:kern w:val="0"/>
          <w:sz w:val="32"/>
          <w:szCs w:val="32"/>
          <w:highlight w:val="none"/>
        </w:rPr>
        <w:t>的</w:t>
      </w:r>
      <w:r>
        <w:rPr>
          <w:rFonts w:hint="eastAsia" w:ascii="仿宋_GB2312" w:hAnsi="宋体" w:eastAsia="仿宋_GB2312" w:cs="仿宋_GB2312"/>
          <w:kern w:val="0"/>
          <w:sz w:val="32"/>
          <w:szCs w:val="32"/>
        </w:rPr>
        <w:t>整数倍。</w:t>
      </w:r>
    </w:p>
    <w:p w14:paraId="3DE6908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价格为含税现汇付款价格。</w:t>
      </w:r>
    </w:p>
    <w:p w14:paraId="2C923C4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lang w:eastAsia="zh-CN"/>
        </w:rPr>
        <w:t>竞价</w:t>
      </w:r>
      <w:r>
        <w:rPr>
          <w:rFonts w:hint="eastAsia" w:ascii="仿宋_GB2312" w:hAnsi="宋体" w:eastAsia="仿宋_GB2312" w:cs="仿宋_GB2312"/>
          <w:color w:val="auto"/>
          <w:kern w:val="0"/>
          <w:sz w:val="32"/>
          <w:szCs w:val="32"/>
        </w:rPr>
        <w:t>成功者厂内自提，自提车辆为</w:t>
      </w:r>
      <w:r>
        <w:rPr>
          <w:rFonts w:hint="eastAsia" w:ascii="仿宋_GB2312" w:hAnsi="宋体" w:eastAsia="仿宋_GB2312" w:cs="仿宋_GB2312"/>
          <w:color w:val="auto"/>
          <w:kern w:val="0"/>
          <w:sz w:val="32"/>
          <w:szCs w:val="32"/>
          <w:lang w:val="en-US" w:eastAsia="zh-CN"/>
        </w:rPr>
        <w:t>不低于国五标准货车或</w:t>
      </w:r>
      <w:r>
        <w:rPr>
          <w:rFonts w:hint="eastAsia" w:ascii="仿宋_GB2312" w:hAnsi="宋体" w:eastAsia="仿宋_GB2312" w:cs="仿宋_GB2312"/>
          <w:color w:val="auto"/>
          <w:kern w:val="0"/>
          <w:sz w:val="32"/>
          <w:szCs w:val="32"/>
        </w:rPr>
        <w:t>电动</w:t>
      </w:r>
      <w:r>
        <w:rPr>
          <w:rFonts w:hint="eastAsia" w:ascii="仿宋_GB2312" w:hAnsi="宋体" w:eastAsia="仿宋_GB2312" w:cs="仿宋_GB2312"/>
          <w:color w:val="auto"/>
          <w:kern w:val="0"/>
          <w:sz w:val="32"/>
          <w:szCs w:val="32"/>
          <w:lang w:val="en-US" w:eastAsia="zh-CN"/>
        </w:rPr>
        <w:t>等新能源</w:t>
      </w:r>
      <w:r>
        <w:rPr>
          <w:rFonts w:hint="eastAsia" w:ascii="仿宋_GB2312" w:hAnsi="宋体" w:eastAsia="仿宋_GB2312" w:cs="仿宋_GB2312"/>
          <w:color w:val="auto"/>
          <w:kern w:val="0"/>
          <w:sz w:val="32"/>
          <w:szCs w:val="32"/>
        </w:rPr>
        <w:t>车辆，</w:t>
      </w:r>
      <w:r>
        <w:rPr>
          <w:rFonts w:hint="eastAsia" w:ascii="仿宋_GB2312" w:hAnsi="宋体" w:eastAsia="仿宋_GB2312" w:cs="仿宋_GB2312"/>
          <w:color w:val="auto"/>
          <w:kern w:val="0"/>
          <w:sz w:val="32"/>
          <w:szCs w:val="32"/>
          <w:lang w:val="en-US" w:eastAsia="zh-CN"/>
        </w:rPr>
        <w:t>具体</w:t>
      </w:r>
      <w:r>
        <w:rPr>
          <w:rFonts w:hint="eastAsia" w:ascii="仿宋_GB2312" w:hAnsi="宋体" w:eastAsia="仿宋_GB2312" w:cs="仿宋_GB2312"/>
          <w:color w:val="auto"/>
          <w:kern w:val="0"/>
          <w:sz w:val="32"/>
          <w:szCs w:val="32"/>
        </w:rPr>
        <w:t>按照山东钢铁集团日照有限公司规定执行。</w:t>
      </w:r>
    </w:p>
    <w:p w14:paraId="7487D9D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销售主体与</w:t>
      </w:r>
      <w:r>
        <w:rPr>
          <w:rFonts w:hint="eastAsia" w:ascii="仿宋_GB2312" w:hAnsi="宋体" w:eastAsia="仿宋_GB2312" w:cs="仿宋_GB2312"/>
          <w:color w:val="auto"/>
          <w:kern w:val="0"/>
          <w:sz w:val="32"/>
          <w:szCs w:val="32"/>
          <w:lang w:eastAsia="zh-CN"/>
        </w:rPr>
        <w:t>竞价</w:t>
      </w:r>
      <w:r>
        <w:rPr>
          <w:rFonts w:hint="eastAsia" w:ascii="仿宋_GB2312" w:hAnsi="宋体" w:eastAsia="仿宋_GB2312" w:cs="仿宋_GB2312"/>
          <w:color w:val="auto"/>
          <w:kern w:val="0"/>
          <w:sz w:val="32"/>
          <w:szCs w:val="32"/>
        </w:rPr>
        <w:t>成功者办理结算，结算价格为</w:t>
      </w:r>
      <w:r>
        <w:rPr>
          <w:rFonts w:hint="eastAsia" w:ascii="仿宋_GB2312" w:hAnsi="宋体" w:eastAsia="仿宋_GB2312" w:cs="仿宋_GB2312"/>
          <w:color w:val="auto"/>
          <w:kern w:val="0"/>
          <w:sz w:val="32"/>
          <w:szCs w:val="32"/>
          <w:lang w:eastAsia="zh-CN"/>
        </w:rPr>
        <w:t>竞价</w:t>
      </w:r>
      <w:r>
        <w:rPr>
          <w:rFonts w:hint="eastAsia" w:ascii="仿宋_GB2312" w:hAnsi="宋体" w:eastAsia="仿宋_GB2312" w:cs="仿宋_GB2312"/>
          <w:color w:val="auto"/>
          <w:kern w:val="0"/>
          <w:sz w:val="32"/>
          <w:szCs w:val="32"/>
        </w:rPr>
        <w:t>成功价格。</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7BA3AFF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竞买方须为在国内注册的中国公司，具备一般纳税人资格。</w:t>
      </w:r>
    </w:p>
    <w:p w14:paraId="2CB5885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具有</w:t>
      </w:r>
      <w:r>
        <w:rPr>
          <w:rFonts w:hint="eastAsia" w:ascii="仿宋_GB2312" w:hAnsi="宋体" w:eastAsia="仿宋_GB2312" w:cs="仿宋_GB2312"/>
          <w:kern w:val="0"/>
          <w:sz w:val="32"/>
          <w:szCs w:val="32"/>
          <w:em w:val="dot"/>
          <w:lang w:val="en-US" w:eastAsia="zh-CN" w:bidi="ar-SA"/>
        </w:rPr>
        <w:t>山东省内上述表中各包对应危废代码</w:t>
      </w:r>
      <w:r>
        <w:rPr>
          <w:rFonts w:hint="eastAsia" w:ascii="仿宋_GB2312" w:hAnsi="宋体" w:eastAsia="仿宋_GB2312" w:cs="仿宋_GB2312"/>
          <w:kern w:val="0"/>
          <w:sz w:val="32"/>
          <w:szCs w:val="32"/>
          <w:lang w:val="en-US" w:eastAsia="zh-CN" w:bidi="ar-SA"/>
        </w:rPr>
        <w:t>的危险废物处置或利用资质。</w:t>
      </w:r>
    </w:p>
    <w:p w14:paraId="6A3CB8C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废铅酸蓄电池例外放宽要求：具有山东省内HW31（900-052-31）危险废物处置或利用资质，或日照市具有山东省内HW31（900-052-31）危险废物经营资质的综合收集单位，或纳入山东省规范管理的废铅酸蓄电池收集站企业。废铅酸蓄电池收集非处置利用单位，</w:t>
      </w:r>
      <w:r>
        <w:rPr>
          <w:rFonts w:hint="eastAsia" w:ascii="仿宋_GB2312" w:hAnsi="宋体" w:eastAsia="仿宋_GB2312" w:cs="仿宋_GB2312"/>
          <w:kern w:val="0"/>
          <w:sz w:val="32"/>
          <w:szCs w:val="32"/>
          <w:em w:val="dot"/>
          <w:lang w:val="en-US" w:eastAsia="zh-CN" w:bidi="ar-SA"/>
        </w:rPr>
        <w:t>除了要上传本单位危险废物经营许可证外，尚需要上传与本单位合作处置、利用单位的危险废物经营许可证以及本单位和处置利用两个主体之间的委托处置合同。</w:t>
      </w:r>
    </w:p>
    <w:p w14:paraId="155B325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同时满足以上要求的客户，按照系统要求及网上投标注册流程，在《山钢集团招标采购与拍卖管理信息平台》完成注册、上传公告要求文件、报名、报价的一系列工作，逐步成功后方可参与（方法见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_Ref149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附件4</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）；注册的法人或授权委托人联系方式须确保畅通。</w:t>
      </w:r>
    </w:p>
    <w:p w14:paraId="3D773CA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公告要求文件：营业执照（合并税务登记证）、危废许可证、授权委托书等材料。上传文件需加盖公司行政章。</w:t>
      </w:r>
    </w:p>
    <w:p w14:paraId="0DFEC43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资质不符，请勿参与，在循环宝平台上的报价视为无效报价。</w:t>
      </w:r>
    </w:p>
    <w:p w14:paraId="13151520">
      <w:pPr>
        <w:pStyle w:val="2"/>
        <w:pageBreakBefore w:val="0"/>
        <w:kinsoku/>
        <w:wordWrap/>
        <w:overflowPunct/>
        <w:topLinePunct w:val="0"/>
        <w:autoSpaceDE/>
        <w:autoSpaceDN/>
        <w:bidi w:val="0"/>
        <w:adjustRightInd/>
        <w:snapToGrid/>
        <w:spacing w:line="560" w:lineRule="exact"/>
        <w:rPr>
          <w:rFonts w:hint="eastAsia"/>
        </w:rPr>
      </w:pPr>
      <w:r>
        <w:rPr>
          <w:rFonts w:hint="eastAsia"/>
        </w:rPr>
        <w:t>参加</w:t>
      </w:r>
      <w:r>
        <w:rPr>
          <w:rFonts w:hint="eastAsia"/>
          <w:lang w:eastAsia="zh-CN"/>
        </w:rPr>
        <w:t>竞价</w:t>
      </w:r>
      <w:r>
        <w:rPr>
          <w:rFonts w:hint="eastAsia"/>
        </w:rPr>
        <w:t>的资格评审及相关要求</w:t>
      </w:r>
    </w:p>
    <w:p w14:paraId="73BEE5D0">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现场踏勘参与条件：自行准备、穿戴齐全劳保护品（安全帽、长袖工作服、绝缘鞋、口罩等）；提前电话报名预约；准时在日照公司北1门内侧丁字路口（可导航至此）集合（见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_Ref32430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图 2集中汇合点</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）；不按照要求参加踏勘的，视同放弃参加现场看货的权利；未按要求参加现场踏勘且参与报价的，视为对本次产品的属性认同。</w:t>
      </w:r>
    </w:p>
    <w:p w14:paraId="047E02C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本次竞价需要在竞价开始前按照循环宝平台显示实际保证金（含服务费）进行缴纳。</w:t>
      </w:r>
    </w:p>
    <w:p w14:paraId="09443CA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山钢集团日照有限公司</w:t>
      </w:r>
      <w:r>
        <w:rPr>
          <w:rFonts w:hint="eastAsia" w:ascii="仿宋_GB2312" w:hAnsi="宋体" w:eastAsia="仿宋_GB2312" w:cs="仿宋_GB2312"/>
          <w:kern w:val="0"/>
          <w:sz w:val="32"/>
          <w:szCs w:val="32"/>
        </w:rPr>
        <w:t>与</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将对缴纳</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保证金的</w:t>
      </w:r>
      <w:r>
        <w:rPr>
          <w:rFonts w:hint="eastAsia" w:ascii="仿宋_GB2312" w:hAnsi="宋体" w:eastAsia="仿宋_GB2312" w:cs="仿宋_GB2312"/>
          <w:kern w:val="0"/>
          <w:sz w:val="32"/>
          <w:szCs w:val="32"/>
          <w:lang w:val="en-US" w:eastAsia="zh-CN"/>
        </w:rPr>
        <w:t>竞价参与者</w:t>
      </w:r>
      <w:r>
        <w:rPr>
          <w:rFonts w:ascii="仿宋_GB2312" w:hAnsi="宋体" w:eastAsia="仿宋_GB2312" w:cs="仿宋_GB2312"/>
          <w:kern w:val="0"/>
          <w:sz w:val="32"/>
          <w:szCs w:val="32"/>
        </w:rPr>
        <w:t>进行资格</w:t>
      </w:r>
      <w:r>
        <w:rPr>
          <w:rFonts w:hint="eastAsia" w:ascii="仿宋_GB2312" w:hAnsi="宋体" w:eastAsia="仿宋_GB2312" w:cs="仿宋_GB2312"/>
          <w:kern w:val="0"/>
          <w:sz w:val="32"/>
          <w:szCs w:val="32"/>
        </w:rPr>
        <w:t>审查</w:t>
      </w:r>
      <w:r>
        <w:rPr>
          <w:rFonts w:ascii="仿宋_GB2312" w:hAnsi="宋体" w:eastAsia="仿宋_GB2312" w:cs="仿宋_GB2312"/>
          <w:kern w:val="0"/>
          <w:sz w:val="32"/>
          <w:szCs w:val="32"/>
        </w:rPr>
        <w:t>。</w:t>
      </w:r>
    </w:p>
    <w:p w14:paraId="5AB1B39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自</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结束2</w:t>
      </w:r>
      <w:r>
        <w:rPr>
          <w:rFonts w:hint="eastAsia" w:ascii="仿宋_GB2312" w:hAnsi="宋体" w:eastAsia="仿宋_GB2312" w:cs="仿宋_GB2312"/>
          <w:kern w:val="0"/>
          <w:sz w:val="32"/>
          <w:szCs w:val="32"/>
          <w:lang w:val="en-US" w:eastAsia="zh-CN"/>
        </w:rPr>
        <w:t>个工作日</w:t>
      </w:r>
      <w:r>
        <w:rPr>
          <w:rFonts w:hint="eastAsia" w:ascii="仿宋_GB2312" w:hAnsi="宋体" w:eastAsia="仿宋_GB2312" w:cs="仿宋_GB2312"/>
          <w:kern w:val="0"/>
          <w:sz w:val="32"/>
          <w:szCs w:val="32"/>
        </w:rPr>
        <w:t>内与销售主体签订合同，并于签订合同之日起3</w:t>
      </w:r>
      <w:r>
        <w:rPr>
          <w:rFonts w:hint="eastAsia" w:ascii="仿宋_GB2312" w:hAnsi="宋体" w:eastAsia="仿宋_GB2312" w:cs="仿宋_GB2312"/>
          <w:kern w:val="0"/>
          <w:sz w:val="32"/>
          <w:szCs w:val="32"/>
          <w:lang w:val="en-US" w:eastAsia="zh-CN"/>
        </w:rPr>
        <w:t>个工作</w:t>
      </w:r>
      <w:r>
        <w:rPr>
          <w:rFonts w:hint="eastAsia" w:ascii="仿宋_GB2312" w:hAnsi="宋体" w:eastAsia="仿宋_GB2312" w:cs="仿宋_GB2312"/>
          <w:kern w:val="0"/>
          <w:sz w:val="32"/>
          <w:szCs w:val="32"/>
        </w:rPr>
        <w:t>日内交齐全部货款，逾期不缴纳者，保证金不予退还，其余按照平台规定执行。签订合同后不履行交款、提货义务的，按合同追究违约责任，销售主体有权取消其今后</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资格并有权扣罚</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保证金。</w:t>
      </w:r>
    </w:p>
    <w:p w14:paraId="4FA8FEC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过程中保证金按照</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规定在平台中冻结，未</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成功者保证金在</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结束后即按照</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规定解冻，</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成功者向销售主体缴纳全部货款后给予解冻。</w:t>
      </w:r>
    </w:p>
    <w:p w14:paraId="7673D43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买方须严格遵守日照公司相关的管理规定，服从现场管理，及时安排车辆发运；以卖方的实际出库的指标、重量为准，不接受由于预估数量差异或货品指标差异或包装差异而产生的任何异议。</w:t>
      </w:r>
    </w:p>
    <w:p w14:paraId="2691249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交货方式：买方自提，提货车辆须为符合山东钢铁集团日照有限公司环保等要求的车辆。车辆匹配现场装车条件，服从现场人员管理，及时清运，保障生产顺行，进厂车辆须保证水箱无水。</w:t>
      </w:r>
    </w:p>
    <w:p w14:paraId="6706106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em w:val="dot"/>
          <w:lang w:val="en-US" w:eastAsia="zh-CN" w:bidi="ar-SA"/>
        </w:rPr>
        <w:t>反向竞价方式</w:t>
      </w:r>
      <w:r>
        <w:rPr>
          <w:rFonts w:hint="eastAsia" w:ascii="仿宋_GB2312" w:hAnsi="宋体" w:eastAsia="仿宋_GB2312" w:cs="仿宋_GB2312"/>
          <w:kern w:val="0"/>
          <w:sz w:val="32"/>
          <w:szCs w:val="32"/>
          <w:lang w:val="en-US" w:eastAsia="zh-CN" w:bidi="ar-SA"/>
        </w:rPr>
        <w:t>：报价最高的买方须按照卖方要求在规定时间内缴纳标的物总货款的5%作为保证金，并签订承诺函（详见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_Ref8462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附件5</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），合同履行完毕且履行阶段无违约的情况下，全额退还所缴纳的保证金，期间不计利息。</w:t>
      </w:r>
    </w:p>
    <w:p w14:paraId="139FC54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em w:val="dot"/>
          <w:lang w:val="en-US" w:eastAsia="zh-CN" w:bidi="ar-SA"/>
        </w:rPr>
        <w:t>公开增价方式</w:t>
      </w:r>
      <w:r>
        <w:rPr>
          <w:rFonts w:hint="eastAsia" w:ascii="仿宋_GB2312" w:hAnsi="宋体" w:eastAsia="仿宋_GB2312" w:cs="仿宋_GB2312"/>
          <w:kern w:val="0"/>
          <w:sz w:val="32"/>
          <w:szCs w:val="32"/>
          <w:lang w:val="en-US" w:eastAsia="zh-CN" w:bidi="ar-SA"/>
        </w:rPr>
        <w:t>：中标者须按照卖方要求在规定时间内缴纳标的物总货款的20%作为预付订金，并签订承诺函（详见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_Ref2418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附件6</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w:t>
      </w:r>
    </w:p>
    <w:p w14:paraId="74077C1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买方接到卖方的成交通知后，按照卖方要求在规定时间内缴纳足额货款，并按照卖方实际出库过磅重量多退少补。</w:t>
      </w:r>
    </w:p>
    <w:p w14:paraId="13CDEFC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结算方式：按照卖方过磅重量结合成交单价结算。</w:t>
      </w:r>
    </w:p>
    <w:p w14:paraId="0B02BF8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违约：报价最高的买方反悔或未按要求缴纳预付订金/履约保证金时，此次报价将视为无效报价，并取消此次预中标资格，且6个月内禁止参与日照公司固废销售竞卖项目。同一买方累计出现两次上述行为的，永久禁止参与公司竞卖项目。</w:t>
      </w:r>
    </w:p>
    <w:p w14:paraId="66835E42">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买方缴纳预付订金</w:t>
      </w:r>
      <w:r>
        <w:rPr>
          <w:rFonts w:hint="eastAsia" w:ascii="仿宋_GB2312" w:hAnsi="宋体" w:eastAsia="仿宋_GB2312" w:cs="仿宋_GB2312"/>
          <w:kern w:val="0"/>
          <w:sz w:val="32"/>
          <w:szCs w:val="32"/>
          <w:lang w:val="en-US" w:eastAsia="zh-CN" w:bidi="ar-SA"/>
        </w:rPr>
        <w:t>/履约保证金</w:t>
      </w:r>
      <w:r>
        <w:rPr>
          <w:rFonts w:hint="eastAsia" w:ascii="仿宋_GB2312" w:hAnsi="仿宋_GB2312" w:eastAsia="仿宋_GB2312" w:cs="仿宋_GB2312"/>
          <w:color w:val="auto"/>
          <w:sz w:val="32"/>
          <w:szCs w:val="32"/>
        </w:rPr>
        <w:t>后，发生下列情况之一的，</w:t>
      </w:r>
      <w:r>
        <w:rPr>
          <w:rFonts w:hint="eastAsia" w:ascii="仿宋_GB2312" w:hAnsi="仿宋" w:eastAsia="仿宋_GB2312" w:cs="宋体"/>
          <w:color w:val="auto"/>
          <w:kern w:val="0"/>
          <w:sz w:val="32"/>
          <w:szCs w:val="32"/>
        </w:rPr>
        <w:t>12个月内禁止</w:t>
      </w:r>
      <w:r>
        <w:rPr>
          <w:rFonts w:hint="eastAsia" w:ascii="仿宋_GB2312" w:hAnsi="仿宋_GB2312" w:eastAsia="仿宋_GB2312" w:cs="仿宋_GB2312"/>
          <w:color w:val="auto"/>
          <w:sz w:val="32"/>
          <w:szCs w:val="32"/>
        </w:rPr>
        <w:t>参与日照公司</w:t>
      </w:r>
      <w:r>
        <w:rPr>
          <w:rFonts w:hint="eastAsia" w:ascii="仿宋_GB2312" w:hAnsi="仿宋_GB2312" w:eastAsia="仿宋_GB2312" w:cs="仿宋_GB2312"/>
          <w:color w:val="auto"/>
          <w:sz w:val="32"/>
          <w:szCs w:val="32"/>
          <w:lang w:val="en-US" w:eastAsia="zh-CN"/>
        </w:rPr>
        <w:t>固废</w:t>
      </w:r>
      <w:r>
        <w:rPr>
          <w:rFonts w:hint="eastAsia" w:ascii="仿宋_GB2312" w:hAnsi="仿宋_GB2312" w:eastAsia="仿宋_GB2312" w:cs="仿宋_GB2312"/>
          <w:color w:val="auto"/>
          <w:sz w:val="32"/>
          <w:szCs w:val="32"/>
        </w:rPr>
        <w:t>销售竞卖项目，并扣除买方缴纳的预付订金</w:t>
      </w:r>
      <w:r>
        <w:rPr>
          <w:rFonts w:hint="eastAsia" w:ascii="仿宋_GB2312" w:hAnsi="宋体" w:eastAsia="仿宋_GB2312" w:cs="仿宋_GB2312"/>
          <w:kern w:val="0"/>
          <w:sz w:val="32"/>
          <w:szCs w:val="32"/>
          <w:lang w:val="en-US" w:eastAsia="zh-CN" w:bidi="ar-SA"/>
        </w:rPr>
        <w:t>/履约保证金</w:t>
      </w:r>
      <w:r>
        <w:rPr>
          <w:rFonts w:hint="eastAsia" w:ascii="仿宋_GB2312" w:hAnsi="仿宋_GB2312" w:eastAsia="仿宋_GB2312" w:cs="仿宋_GB2312"/>
          <w:color w:val="auto"/>
          <w:sz w:val="32"/>
          <w:szCs w:val="32"/>
        </w:rPr>
        <w:t>后；买方触犯法律的，</w:t>
      </w:r>
      <w:r>
        <w:rPr>
          <w:rFonts w:hint="eastAsia" w:ascii="仿宋_GB2312" w:hAnsi="仿宋" w:eastAsia="仿宋_GB2312" w:cs="宋体"/>
          <w:color w:val="auto"/>
          <w:kern w:val="0"/>
          <w:sz w:val="32"/>
          <w:szCs w:val="32"/>
        </w:rPr>
        <w:t>将解除合同，永久取消参与日照公司</w:t>
      </w:r>
      <w:r>
        <w:rPr>
          <w:rFonts w:hint="eastAsia" w:ascii="仿宋_GB2312" w:hAnsi="仿宋_GB2312" w:eastAsia="仿宋_GB2312" w:cs="仿宋_GB2312"/>
          <w:color w:val="auto"/>
          <w:sz w:val="32"/>
          <w:szCs w:val="32"/>
        </w:rPr>
        <w:t>竞卖项目的资格，并全额扣除买方缴纳的预付订金</w:t>
      </w:r>
      <w:r>
        <w:rPr>
          <w:rFonts w:hint="eastAsia" w:ascii="仿宋_GB2312" w:hAnsi="宋体" w:eastAsia="仿宋_GB2312" w:cs="仿宋_GB2312"/>
          <w:kern w:val="0"/>
          <w:sz w:val="32"/>
          <w:szCs w:val="32"/>
          <w:lang w:val="en-US" w:eastAsia="zh-CN" w:bidi="ar-SA"/>
        </w:rPr>
        <w:t>/履约保证金</w:t>
      </w:r>
      <w:r>
        <w:rPr>
          <w:rFonts w:hint="eastAsia" w:ascii="仿宋_GB2312" w:hAnsi="仿宋_GB2312" w:eastAsia="仿宋_GB2312" w:cs="仿宋_GB2312"/>
          <w:color w:val="auto"/>
          <w:sz w:val="32"/>
          <w:szCs w:val="32"/>
        </w:rPr>
        <w:t>。</w:t>
      </w:r>
    </w:p>
    <w:p w14:paraId="115A1C8A">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情况：</w:t>
      </w:r>
    </w:p>
    <w:p w14:paraId="2C669062">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a.买方因自身原因不签署合同的；</w:t>
      </w:r>
    </w:p>
    <w:p w14:paraId="2879BE5B">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等线" w:eastAsia="仿宋_GB2312" w:cs="华文楷体"/>
          <w:color w:val="auto"/>
          <w:sz w:val="32"/>
          <w:szCs w:val="32"/>
        </w:rPr>
        <w:t>b.未按照卖方要求缴纳货款的；</w:t>
      </w:r>
    </w:p>
    <w:p w14:paraId="7E23632D">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c.未按照公告、承诺函、已签订合同约定条款执行的；</w:t>
      </w:r>
    </w:p>
    <w:p w14:paraId="2535C206">
      <w:pPr>
        <w:pageBreakBefore w:val="0"/>
        <w:tabs>
          <w:tab w:val="left" w:pos="425"/>
        </w:tabs>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d.在生产、经营、环境、安全等方面给卖方造成损失或不良影响的。</w:t>
      </w:r>
    </w:p>
    <w:p w14:paraId="1406752C">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sz w:val="32"/>
          <w:szCs w:val="32"/>
          <w:highlight w:val="none"/>
          <w:lang w:val="en-US" w:eastAsia="zh-CN"/>
        </w:rPr>
        <w:t>e.</w:t>
      </w:r>
      <w:r>
        <w:rPr>
          <w:rFonts w:hint="eastAsia" w:ascii="仿宋_GB2312" w:hAnsi="宋体" w:eastAsia="仿宋_GB2312" w:cs="仿宋_GB2312"/>
          <w:color w:val="000000"/>
          <w:kern w:val="0"/>
          <w:sz w:val="32"/>
          <w:szCs w:val="32"/>
          <w:highlight w:val="none"/>
          <w:lang w:val="en-US" w:eastAsia="zh-CN" w:bidi="ar"/>
        </w:rPr>
        <w:t>对同批次竞拍项目</w:t>
      </w:r>
      <w:r>
        <w:rPr>
          <w:rFonts w:hint="eastAsia" w:ascii="仿宋_GB2312" w:hAnsi="宋体" w:eastAsia="仿宋_GB2312" w:cs="仿宋_GB2312"/>
          <w:color w:val="000000"/>
          <w:kern w:val="0"/>
          <w:sz w:val="32"/>
          <w:szCs w:val="32"/>
          <w:highlight w:val="none"/>
          <w:em w:val="dot"/>
          <w:lang w:val="en-US" w:eastAsia="zh-CN" w:bidi="ar"/>
        </w:rPr>
        <w:t>IP地址相同的客户</w:t>
      </w:r>
      <w:r>
        <w:rPr>
          <w:rFonts w:hint="eastAsia" w:ascii="仿宋_GB2312" w:hAnsi="宋体" w:eastAsia="仿宋_GB2312" w:cs="仿宋_GB2312"/>
          <w:color w:val="000000"/>
          <w:kern w:val="0"/>
          <w:sz w:val="32"/>
          <w:szCs w:val="32"/>
          <w:highlight w:val="none"/>
          <w:lang w:val="en-US" w:eastAsia="zh-CN" w:bidi="ar"/>
        </w:rPr>
        <w:t>，按照《欧冶循环宝竞价交易规则》（第五版）11条违约处理原则处置。</w:t>
      </w:r>
    </w:p>
    <w:p w14:paraId="4519789E">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 w:eastAsia="仿宋_GB2312" w:cs="宋体"/>
          <w:color w:val="auto"/>
          <w:kern w:val="0"/>
          <w:sz w:val="32"/>
          <w:szCs w:val="32"/>
        </w:rPr>
        <w:t>买方</w:t>
      </w:r>
      <w:r>
        <w:rPr>
          <w:rFonts w:hint="eastAsia" w:ascii="仿宋_GB2312" w:hAnsi="仿宋_GB2312" w:eastAsia="仿宋_GB2312" w:cs="仿宋_GB2312"/>
          <w:color w:val="auto"/>
          <w:sz w:val="32"/>
          <w:szCs w:val="32"/>
        </w:rPr>
        <w:t>发生违约情况时，影响卖方正常生产，为保障生产需求卖方有权终止合同，并重新组织招标。</w:t>
      </w:r>
    </w:p>
    <w:p w14:paraId="3DD384E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bidi="ar-SA"/>
        </w:rPr>
        <w:t>为保护买方权益，卖方对买方信息不予公开。对于成交价格，买方可在竞卖结束之日起七个工作日后电话咨询卖方。</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w:t>
      </w:r>
      <w:r>
        <w:rPr>
          <w:rFonts w:hint="eastAsia"/>
        </w:rPr>
        <w:t>公告发布及</w:t>
      </w:r>
      <w:r>
        <w:rPr>
          <w:rFonts w:hint="eastAsia"/>
          <w:lang w:eastAsia="zh-CN"/>
        </w:rPr>
        <w:t>竞价</w:t>
      </w:r>
      <w:r>
        <w:rPr>
          <w:rFonts w:hint="eastAsia"/>
        </w:rPr>
        <w:t>时间</w:t>
      </w:r>
      <w:r>
        <w:rPr>
          <w:rFonts w:hint="eastAsia"/>
          <w:lang w:eastAsia="zh-CN"/>
        </w:rPr>
        <w:t>（</w:t>
      </w:r>
      <w:r>
        <w:rPr>
          <w:rFonts w:hint="eastAsia"/>
          <w:lang w:val="en-US" w:eastAsia="zh-CN"/>
        </w:rPr>
        <w:t>特别重要！</w:t>
      </w:r>
      <w:r>
        <w:rPr>
          <w:rFonts w:hint="eastAsia"/>
          <w:lang w:eastAsia="zh-CN"/>
        </w:rPr>
        <w:t>）</w:t>
      </w:r>
    </w:p>
    <w:p w14:paraId="39125EB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hint="default" w:ascii="仿宋_GB2312" w:hAnsi="宋体" w:eastAsia="仿宋_GB2312" w:cs="仿宋_GB2312"/>
          <w:kern w:val="0"/>
          <w:sz w:val="32"/>
          <w:szCs w:val="32"/>
          <w:highlight w:val="none"/>
          <w:lang w:val="en-US" w:eastAsia="zh-CN"/>
        </w:rPr>
      </w:pPr>
      <w:r>
        <w:rPr>
          <w:rFonts w:hint="eastAsia" w:ascii="仿宋_GB2312" w:hAnsi="宋体" w:eastAsia="仿宋_GB2312" w:cs="仿宋_GB2312"/>
          <w:kern w:val="0"/>
          <w:sz w:val="32"/>
          <w:szCs w:val="32"/>
          <w:highlight w:val="none"/>
          <w:lang w:val="en-US" w:eastAsia="zh-CN"/>
        </w:rPr>
        <w:t>此公告将在山钢集团招标采购与拍卖管理信息平台与欧冶循环宝平台两个平台同步发布。确保在上述两个平台均注册成功。</w:t>
      </w:r>
    </w:p>
    <w:p w14:paraId="1AA846F3">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hint="default" w:ascii="仿宋_GB2312" w:hAnsi="宋体" w:eastAsia="仿宋_GB2312" w:cs="仿宋_GB2312"/>
          <w:kern w:val="0"/>
          <w:sz w:val="32"/>
          <w:szCs w:val="32"/>
          <w:highlight w:val="none"/>
          <w:lang w:val="en-US" w:eastAsia="zh-CN"/>
        </w:rPr>
      </w:pPr>
      <w:r>
        <w:rPr>
          <w:rFonts w:hint="eastAsia" w:ascii="仿宋_GB2312" w:hAnsi="宋体" w:eastAsia="仿宋_GB2312" w:cs="仿宋_GB2312"/>
          <w:kern w:val="0"/>
          <w:sz w:val="32"/>
          <w:szCs w:val="32"/>
          <w:highlight w:val="none"/>
          <w:lang w:val="en-US" w:eastAsia="zh-CN"/>
        </w:rPr>
        <w:t>踏勘</w:t>
      </w:r>
      <w:r>
        <w:rPr>
          <w:rFonts w:hint="eastAsia" w:ascii="仿宋_GB2312" w:hAnsi="宋体" w:eastAsia="仿宋_GB2312" w:cs="仿宋_GB2312"/>
          <w:kern w:val="0"/>
          <w:sz w:val="32"/>
          <w:szCs w:val="32"/>
          <w:highlight w:val="none"/>
          <w:lang w:val="en-US" w:eastAsia="zh-CN" w:bidi="ar-SA"/>
        </w:rPr>
        <w:t>现场：</w:t>
      </w:r>
      <w:r>
        <w:rPr>
          <w:rFonts w:hint="eastAsia" w:ascii="仿宋_GB2312" w:hAnsi="宋体" w:eastAsia="仿宋_GB2312" w:cs="仿宋_GB2312"/>
          <w:kern w:val="0"/>
          <w:sz w:val="32"/>
          <w:szCs w:val="32"/>
          <w:highlight w:val="yellow"/>
          <w:lang w:val="en-US" w:eastAsia="zh-CN" w:bidi="ar-SA"/>
        </w:rPr>
        <w:t>2026年3月4日14:00，</w:t>
      </w:r>
      <w:r>
        <w:rPr>
          <w:rFonts w:hint="eastAsia" w:ascii="仿宋_GB2312" w:hAnsi="宋体" w:eastAsia="仿宋_GB2312" w:cs="仿宋_GB2312"/>
          <w:kern w:val="0"/>
          <w:sz w:val="32"/>
          <w:szCs w:val="32"/>
          <w:highlight w:val="none"/>
          <w:lang w:val="en-US" w:eastAsia="zh-CN" w:bidi="ar-SA"/>
        </w:rPr>
        <w:t>统一组织现场踏勘。（进厂方法见</w:t>
      </w:r>
      <w:r>
        <w:rPr>
          <w:rFonts w:hint="eastAsia" w:ascii="仿宋_GB2312" w:hAnsi="宋体" w:eastAsia="仿宋_GB2312" w:cs="仿宋_GB2312"/>
          <w:kern w:val="0"/>
          <w:sz w:val="32"/>
          <w:szCs w:val="32"/>
          <w:highlight w:val="none"/>
          <w:lang w:val="en-US" w:eastAsia="zh-CN" w:bidi="ar-SA"/>
        </w:rPr>
        <w:fldChar w:fldCharType="begin"/>
      </w:r>
      <w:r>
        <w:rPr>
          <w:rFonts w:hint="eastAsia" w:ascii="仿宋_GB2312" w:hAnsi="宋体" w:eastAsia="仿宋_GB2312" w:cs="仿宋_GB2312"/>
          <w:kern w:val="0"/>
          <w:sz w:val="32"/>
          <w:szCs w:val="32"/>
          <w:highlight w:val="none"/>
          <w:lang w:val="en-US" w:eastAsia="zh-CN" w:bidi="ar-SA"/>
        </w:rPr>
        <w:instrText xml:space="preserve"> REF _Ref16409 \r \h </w:instrText>
      </w:r>
      <w:r>
        <w:rPr>
          <w:rFonts w:hint="eastAsia" w:ascii="仿宋_GB2312" w:hAnsi="宋体" w:eastAsia="仿宋_GB2312" w:cs="仿宋_GB2312"/>
          <w:kern w:val="0"/>
          <w:sz w:val="32"/>
          <w:szCs w:val="32"/>
          <w:highlight w:val="none"/>
          <w:lang w:val="en-US" w:eastAsia="zh-CN" w:bidi="ar-SA"/>
        </w:rPr>
        <w:fldChar w:fldCharType="separate"/>
      </w:r>
      <w:r>
        <w:rPr>
          <w:rFonts w:hint="eastAsia" w:ascii="仿宋_GB2312" w:hAnsi="宋体" w:eastAsia="仿宋_GB2312" w:cs="仿宋_GB2312"/>
          <w:kern w:val="0"/>
          <w:sz w:val="32"/>
          <w:szCs w:val="32"/>
          <w:highlight w:val="none"/>
          <w:lang w:val="en-US" w:eastAsia="zh-CN" w:bidi="ar-SA"/>
        </w:rPr>
        <w:t>附件2</w:t>
      </w:r>
      <w:r>
        <w:rPr>
          <w:rFonts w:hint="eastAsia" w:ascii="仿宋_GB2312" w:hAnsi="宋体" w:eastAsia="仿宋_GB2312" w:cs="仿宋_GB2312"/>
          <w:kern w:val="0"/>
          <w:sz w:val="32"/>
          <w:szCs w:val="32"/>
          <w:highlight w:val="none"/>
          <w:lang w:val="en-US" w:eastAsia="zh-CN" w:bidi="ar-SA"/>
        </w:rPr>
        <w:fldChar w:fldCharType="end"/>
      </w:r>
      <w:r>
        <w:rPr>
          <w:rFonts w:hint="eastAsia" w:ascii="仿宋_GB2312" w:hAnsi="宋体" w:eastAsia="仿宋_GB2312" w:cs="仿宋_GB2312"/>
          <w:kern w:val="0"/>
          <w:sz w:val="32"/>
          <w:szCs w:val="32"/>
          <w:highlight w:val="none"/>
          <w:lang w:val="en-US" w:eastAsia="zh-CN" w:bidi="ar-SA"/>
        </w:rPr>
        <w:t>，</w:t>
      </w:r>
      <w:r>
        <w:rPr>
          <w:rFonts w:hint="eastAsia" w:ascii="仿宋_GB2312" w:hAnsi="宋体" w:eastAsia="仿宋_GB2312" w:cs="仿宋_GB2312"/>
          <w:kern w:val="0"/>
          <w:sz w:val="32"/>
          <w:szCs w:val="32"/>
          <w:highlight w:val="none"/>
          <w:em w:val="dot"/>
          <w:lang w:val="en-US" w:eastAsia="zh-CN" w:bidi="ar-SA"/>
        </w:rPr>
        <w:t>于前日预约能源环保部（原环境保护部），预约完毕后，第一时间通知销售业务负责人0633-7925565，由其办理审批</w:t>
      </w:r>
      <w:r>
        <w:rPr>
          <w:rFonts w:hint="eastAsia" w:ascii="仿宋_GB2312" w:hAnsi="宋体" w:eastAsia="仿宋_GB2312" w:cs="仿宋_GB2312"/>
          <w:kern w:val="0"/>
          <w:sz w:val="32"/>
          <w:szCs w:val="32"/>
          <w:highlight w:val="none"/>
          <w:lang w:val="en-US" w:eastAsia="zh-CN" w:bidi="ar-SA"/>
        </w:rPr>
        <w:t>）。自备取样工具。特别提醒，后备箱等车内不要带其他无相关物资。</w:t>
      </w:r>
    </w:p>
    <w:p w14:paraId="69C0EC0D">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2026年3月5日14:00（以系统网站时间为准）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https://bams.shansteelgroup.com/Suppliers/Default.aspx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附件4</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）。建议本次各包报价均填写1元/吨。该平台报价不作为最终竞价，只作为资格审查前的象征性报价。该时间截止后，再行更改上传资质视为无效。</w:t>
      </w:r>
    </w:p>
    <w:p w14:paraId="51A50CF1">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资质文件：营业执照（税务登记证合二为一）、危废许可证、授权委托书、本标相关的生产工艺流程等材料。须加盖公章扫描上传。</w:t>
      </w:r>
    </w:p>
    <w:p w14:paraId="5E0D6491">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2026年3月9日14:00-15:00（以系统网站时间为准）。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11"/>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只有在山钢招标采购平台网上正确完成填报价格，才具备资质审核前提。只有资质审核通过，才具备在欧冶循环宝平台竞价的前提，请务必完成上述两个平台的相应工作。</w:t>
      </w:r>
    </w:p>
    <w:p w14:paraId="02E83746">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魏</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5565</w:t>
      </w:r>
    </w:p>
    <w:p w14:paraId="28424395">
      <w:pPr>
        <w:pStyle w:val="2"/>
        <w:pageBreakBefore w:val="0"/>
        <w:kinsoku/>
        <w:wordWrap/>
        <w:overflowPunct/>
        <w:topLinePunct w:val="0"/>
        <w:autoSpaceDE/>
        <w:autoSpaceDN/>
        <w:bidi w:val="0"/>
        <w:adjustRightInd/>
        <w:snapToGrid/>
        <w:spacing w:line="560" w:lineRule="exact"/>
      </w:pPr>
      <w:r>
        <w:rPr>
          <w:rFonts w:hint="eastAsia"/>
        </w:rPr>
        <w:t>本次公告发布范围</w:t>
      </w:r>
    </w:p>
    <w:p w14:paraId="7EB8859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宋体" w:eastAsia="仿宋_GB2312" w:cs="仿宋_GB2312"/>
          <w:color w:val="000000"/>
          <w:spacing w:val="-6"/>
          <w:kern w:val="0"/>
          <w:sz w:val="32"/>
          <w:szCs w:val="32"/>
        </w:rPr>
      </w:pPr>
      <w:r>
        <w:rPr>
          <w:rFonts w:hint="eastAsia" w:ascii="仿宋_GB2312" w:hAnsi="宋体" w:eastAsia="仿宋_GB2312" w:cs="仿宋_GB2312"/>
          <w:spacing w:val="-6"/>
          <w:kern w:val="0"/>
          <w:sz w:val="32"/>
          <w:szCs w:val="32"/>
          <w:lang w:val="en-US" w:eastAsia="zh-CN"/>
        </w:rPr>
        <w:t>循环宝</w:t>
      </w:r>
      <w:r>
        <w:rPr>
          <w:rFonts w:hint="eastAsia" w:ascii="仿宋_GB2312" w:hAnsi="宋体" w:eastAsia="仿宋_GB2312" w:cs="仿宋_GB2312"/>
          <w:color w:val="000000"/>
          <w:spacing w:val="-6"/>
          <w:kern w:val="0"/>
          <w:sz w:val="32"/>
          <w:szCs w:val="32"/>
        </w:rPr>
        <w:fldChar w:fldCharType="begin"/>
      </w:r>
      <w:r>
        <w:rPr>
          <w:rFonts w:hint="eastAsia" w:ascii="仿宋_GB2312" w:hAnsi="宋体" w:eastAsia="仿宋_GB2312" w:cs="仿宋_GB2312"/>
          <w:color w:val="000000"/>
          <w:spacing w:val="-6"/>
          <w:kern w:val="0"/>
          <w:sz w:val="32"/>
          <w:szCs w:val="32"/>
        </w:rPr>
        <w:instrText xml:space="preserve"> HYPERLINK "https://www.ouyeel.com/search-ng/exchange/home" </w:instrText>
      </w:r>
      <w:r>
        <w:rPr>
          <w:rFonts w:hint="eastAsia" w:ascii="仿宋_GB2312" w:hAnsi="宋体" w:eastAsia="仿宋_GB2312" w:cs="仿宋_GB2312"/>
          <w:color w:val="000000"/>
          <w:spacing w:val="-6"/>
          <w:kern w:val="0"/>
          <w:sz w:val="32"/>
          <w:szCs w:val="32"/>
        </w:rPr>
        <w:fldChar w:fldCharType="separate"/>
      </w:r>
      <w:r>
        <w:rPr>
          <w:rStyle w:val="21"/>
          <w:rFonts w:hint="eastAsia" w:ascii="仿宋_GB2312" w:hAnsi="宋体" w:eastAsia="仿宋_GB2312" w:cs="仿宋_GB2312"/>
          <w:spacing w:val="-6"/>
          <w:kern w:val="0"/>
          <w:sz w:val="32"/>
          <w:szCs w:val="32"/>
        </w:rPr>
        <w:t>https://www.ouyeel.com/search-ng/exchange/home</w:t>
      </w:r>
      <w:r>
        <w:rPr>
          <w:rFonts w:hint="eastAsia" w:ascii="仿宋_GB2312" w:hAnsi="宋体" w:eastAsia="仿宋_GB2312" w:cs="仿宋_GB2312"/>
          <w:color w:val="000000"/>
          <w:spacing w:val="-6"/>
          <w:kern w:val="0"/>
          <w:sz w:val="32"/>
          <w:szCs w:val="32"/>
        </w:rPr>
        <w:fldChar w:fldCharType="end"/>
      </w:r>
    </w:p>
    <w:p w14:paraId="3415F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kern w:val="0"/>
          <w:sz w:val="24"/>
          <w:szCs w:val="24"/>
          <w:highlight w:val="none"/>
          <w:lang w:val="en-US" w:eastAsia="zh-CN"/>
        </w:rPr>
      </w:pPr>
      <w:r>
        <w:rPr>
          <w:rFonts w:hint="eastAsia" w:ascii="仿宋_GB2312" w:hAnsi="宋体" w:eastAsia="仿宋_GB2312" w:cs="仿宋_GB2312"/>
          <w:kern w:val="0"/>
          <w:sz w:val="32"/>
          <w:szCs w:val="32"/>
          <w:highlight w:val="none"/>
          <w:lang w:val="en-US" w:eastAsia="zh-CN"/>
        </w:rPr>
        <w:t>山钢招标采购平台</w:t>
      </w:r>
      <w:r>
        <w:rPr>
          <w:rFonts w:hint="eastAsia" w:ascii="仿宋_GB2312" w:hAnsi="宋体" w:eastAsia="仿宋_GB2312" w:cs="仿宋_GB2312"/>
          <w:kern w:val="0"/>
          <w:sz w:val="24"/>
          <w:szCs w:val="24"/>
          <w:highlight w:val="none"/>
          <w:lang w:val="en-US" w:eastAsia="zh-CN"/>
        </w:rPr>
        <w:fldChar w:fldCharType="begin"/>
      </w:r>
      <w:r>
        <w:rPr>
          <w:rFonts w:hint="eastAsia" w:ascii="仿宋_GB2312" w:hAnsi="宋体" w:eastAsia="仿宋_GB2312" w:cs="仿宋_GB2312"/>
          <w:kern w:val="0"/>
          <w:sz w:val="24"/>
          <w:szCs w:val="24"/>
          <w:highlight w:val="none"/>
          <w:lang w:val="en-US" w:eastAsia="zh-CN"/>
        </w:rPr>
        <w:instrText xml:space="preserve"> HYPERLINK "http://bams.shansteelgroup.com/Suppliers/Default.aspx" </w:instrText>
      </w:r>
      <w:r>
        <w:rPr>
          <w:rFonts w:hint="eastAsia" w:ascii="仿宋_GB2312" w:hAnsi="宋体" w:eastAsia="仿宋_GB2312" w:cs="仿宋_GB2312"/>
          <w:kern w:val="0"/>
          <w:sz w:val="24"/>
          <w:szCs w:val="24"/>
          <w:highlight w:val="none"/>
          <w:lang w:val="en-US" w:eastAsia="zh-CN"/>
        </w:rPr>
        <w:fldChar w:fldCharType="separate"/>
      </w:r>
      <w:r>
        <w:rPr>
          <w:rFonts w:hint="eastAsia" w:ascii="仿宋_GB2312" w:hAnsi="宋体" w:eastAsia="仿宋_GB2312" w:cs="仿宋_GB2312"/>
          <w:kern w:val="0"/>
          <w:sz w:val="24"/>
          <w:szCs w:val="24"/>
          <w:highlight w:val="none"/>
          <w:lang w:val="en-US" w:eastAsia="zh-CN"/>
        </w:rPr>
        <w:t>https://bams.shansteelgroup.com/Suppliers/Default.aspx</w:t>
      </w:r>
      <w:r>
        <w:rPr>
          <w:rFonts w:hint="eastAsia" w:ascii="仿宋_GB2312" w:hAnsi="宋体" w:eastAsia="仿宋_GB2312" w:cs="仿宋_GB2312"/>
          <w:kern w:val="0"/>
          <w:sz w:val="24"/>
          <w:szCs w:val="24"/>
          <w:highlight w:val="none"/>
          <w:lang w:val="en-US" w:eastAsia="zh-CN"/>
        </w:rPr>
        <w:fldChar w:fldCharType="end"/>
      </w:r>
    </w:p>
    <w:p w14:paraId="3B1FFA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kern w:val="0"/>
          <w:sz w:val="24"/>
          <w:szCs w:val="24"/>
          <w:highlight w:val="none"/>
          <w:lang w:val="en-US" w:eastAsia="zh-CN"/>
        </w:rPr>
      </w:pPr>
    </w:p>
    <w:p w14:paraId="00ABF587">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2</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28</w:t>
      </w:r>
      <w:r>
        <w:rPr>
          <w:rFonts w:hint="eastAsia" w:ascii="仿宋_GB2312" w:hAnsi="宋体" w:eastAsia="仿宋_GB2312" w:cs="仿宋_GB2312"/>
          <w:kern w:val="0"/>
          <w:sz w:val="32"/>
          <w:szCs w:val="32"/>
          <w:highlight w:val="none"/>
        </w:rPr>
        <w:t>日</w:t>
      </w: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type w:val="continuous"/>
          <w:pgSz w:w="11906" w:h="16838"/>
          <w:pgMar w:top="720" w:right="720" w:bottom="720" w:left="720" w:header="851" w:footer="992" w:gutter="0"/>
          <w:pgNumType w:fmt="decimal"/>
          <w:cols w:space="720" w:num="1"/>
          <w:docGrid w:type="lines" w:linePitch="312" w:charSpace="0"/>
        </w:sectPr>
      </w:pPr>
    </w:p>
    <w:p w14:paraId="1021DEC2">
      <w:pPr>
        <w:pStyle w:val="28"/>
        <w:bidi w:val="0"/>
        <w:ind w:left="0" w:leftChars="0" w:firstLine="420" w:firstLineChars="0"/>
        <w:rPr>
          <w:rFonts w:hint="default"/>
          <w:lang w:val="en-US" w:eastAsia="zh-CN"/>
        </w:rPr>
      </w:pPr>
      <w:bookmarkStart w:id="1" w:name="_Ref12228"/>
      <w:r>
        <w:rPr>
          <w:rFonts w:hint="default"/>
          <w:lang w:val="en-US" w:eastAsia="zh-CN"/>
        </w:rPr>
        <w:t>各</w:t>
      </w:r>
      <w:r>
        <w:rPr>
          <w:rFonts w:hint="eastAsia"/>
          <w:lang w:val="en-US" w:eastAsia="zh-CN"/>
        </w:rPr>
        <w:t>账户信息</w:t>
      </w:r>
    </w:p>
    <w:p w14:paraId="283DE28E">
      <w:pPr>
        <w:rPr>
          <w:rFonts w:hint="default"/>
          <w:lang w:val="en-US" w:eastAsia="zh-CN"/>
        </w:rPr>
      </w:pPr>
    </w:p>
    <w:p w14:paraId="551C5A5D">
      <w:pPr>
        <w:pStyle w:val="3"/>
        <w:bidi w:val="0"/>
        <w:rPr>
          <w:rFonts w:hint="eastAsia"/>
          <w:lang w:val="en-US" w:eastAsia="zh-CN"/>
        </w:rPr>
      </w:pPr>
      <w:r>
        <w:rPr>
          <w:rFonts w:hint="eastAsia"/>
          <w:lang w:val="en-US" w:eastAsia="zh-CN"/>
        </w:rPr>
        <w:t>公开增价（买方付款）模式下的预付订金及货款账户信息：</w:t>
      </w:r>
    </w:p>
    <w:p w14:paraId="0ECC9E3E">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账户名称：山东钢铁集团日照有限公司</w:t>
      </w:r>
    </w:p>
    <w:p w14:paraId="02176F45">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开户行：</w:t>
      </w:r>
      <w:r>
        <w:rPr>
          <w:rFonts w:hint="default" w:asciiTheme="minorEastAsia" w:hAnsiTheme="minorEastAsia" w:eastAsiaTheme="minorEastAsia" w:cstheme="minorEastAsia"/>
          <w:kern w:val="0"/>
          <w:sz w:val="28"/>
          <w:szCs w:val="28"/>
          <w:lang w:val="en-US" w:eastAsia="zh-CN" w:bidi="ar-SA"/>
        </w:rPr>
        <w:t>中国农业银行日照岚山支行</w:t>
      </w:r>
    </w:p>
    <w:p w14:paraId="697D58E8">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账号：</w:t>
      </w:r>
      <w:r>
        <w:rPr>
          <w:rFonts w:hint="default" w:asciiTheme="minorEastAsia" w:hAnsiTheme="minorEastAsia" w:eastAsiaTheme="minorEastAsia" w:cstheme="minorEastAsia"/>
          <w:kern w:val="0"/>
          <w:sz w:val="28"/>
          <w:szCs w:val="28"/>
          <w:lang w:val="en-US" w:eastAsia="zh-CN" w:bidi="ar-SA"/>
        </w:rPr>
        <w:t>15641101040014582</w:t>
      </w:r>
    </w:p>
    <w:p w14:paraId="0B339CB9">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开户行编号：</w:t>
      </w:r>
      <w:r>
        <w:rPr>
          <w:rFonts w:hint="default" w:asciiTheme="minorEastAsia" w:hAnsiTheme="minorEastAsia" w:eastAsiaTheme="minorEastAsia" w:cstheme="minorEastAsia"/>
          <w:kern w:val="0"/>
          <w:sz w:val="28"/>
          <w:szCs w:val="28"/>
          <w:lang w:val="en-US" w:eastAsia="zh-CN" w:bidi="ar-SA"/>
        </w:rPr>
        <w:t>103473264114</w:t>
      </w:r>
    </w:p>
    <w:p w14:paraId="2ABE7AE3">
      <w:pPr>
        <w:pStyle w:val="3"/>
        <w:bidi w:val="0"/>
        <w:ind w:left="0" w:firstLine="0"/>
        <w:rPr>
          <w:rFonts w:hint="eastAsia" w:asciiTheme="minorEastAsia" w:hAnsiTheme="minorEastAsia" w:eastAsiaTheme="minorEastAsia" w:cstheme="minorEastAsia"/>
          <w:color w:val="000000"/>
          <w:kern w:val="0"/>
          <w:sz w:val="28"/>
          <w:szCs w:val="28"/>
          <w:lang w:val="en-US" w:eastAsia="zh-CN" w:bidi="ar-SA"/>
        </w:rPr>
      </w:pPr>
      <w:r>
        <w:rPr>
          <w:rFonts w:hint="eastAsia"/>
          <w:lang w:val="en-US" w:eastAsia="zh-CN"/>
        </w:rPr>
        <w:t>反向竞价（卖方付款）模式下的履约保障金及账户信息：</w:t>
      </w:r>
    </w:p>
    <w:p w14:paraId="751E68DF">
      <w:pPr>
        <w:pStyle w:val="4"/>
        <w:bidi w:val="0"/>
        <w:rPr>
          <w:rFonts w:hint="eastAsia"/>
          <w:lang w:val="en-US" w:eastAsia="zh-CN"/>
        </w:rPr>
      </w:pPr>
      <w:r>
        <w:rPr>
          <w:rFonts w:hint="eastAsia"/>
          <w:lang w:val="en-US" w:eastAsia="zh-CN"/>
        </w:rPr>
        <w:t>履约保证金账户：</w:t>
      </w:r>
    </w:p>
    <w:p w14:paraId="284442B5">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开户银行：中国农业银行日照分行</w:t>
      </w:r>
    </w:p>
    <w:p w14:paraId="2966F2D1">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收款人：山东钢铁集团日照有限公司</w:t>
      </w:r>
    </w:p>
    <w:p w14:paraId="7DF446AE">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账号：15651001040040990</w:t>
      </w:r>
    </w:p>
    <w:p w14:paraId="619201E4">
      <w:pPr>
        <w:pStyle w:val="4"/>
        <w:bidi w:val="0"/>
        <w:rPr>
          <w:rFonts w:hint="eastAsia"/>
          <w:lang w:val="en-US" w:eastAsia="zh-CN"/>
        </w:rPr>
      </w:pPr>
      <w:r>
        <w:rPr>
          <w:rFonts w:hint="eastAsia"/>
          <w:lang w:val="en-US" w:eastAsia="zh-CN"/>
        </w:rPr>
        <w:t>开票信息：</w:t>
      </w:r>
    </w:p>
    <w:p w14:paraId="3796F498">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企业名称：山东钢铁集团日照有限公司</w:t>
      </w:r>
    </w:p>
    <w:p w14:paraId="0C0A6D2F">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纳税人识别号：91370000685900369J</w:t>
      </w:r>
    </w:p>
    <w:p w14:paraId="24CA11E7">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地址、电话：山东省日照市东港区临钢路1号；0633-7920226</w:t>
      </w:r>
    </w:p>
    <w:p w14:paraId="452B1C8A">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shd w:val="clear" w:color="auto" w:fill="FFFFFF"/>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开户行及账号：中国建设银行股份有限公司日照分行营业部</w:t>
      </w:r>
    </w:p>
    <w:p w14:paraId="100EA1ED">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账号：37001718808059677777</w:t>
      </w:r>
    </w:p>
    <w:p w14:paraId="0D658C5A">
      <w:pPr>
        <w:keepNext w:val="0"/>
        <w:keepLines w:val="0"/>
        <w:pageBreakBefore w:val="0"/>
        <w:widowControl w:val="0"/>
        <w:kinsoku/>
        <w:wordWrap/>
        <w:overflowPunct/>
        <w:topLinePunct w:val="0"/>
        <w:autoSpaceDE/>
        <w:autoSpaceDN/>
        <w:bidi w:val="0"/>
        <w:adjustRightInd/>
        <w:spacing w:line="520" w:lineRule="exact"/>
        <w:textAlignment w:val="auto"/>
        <w:rPr>
          <w:rFonts w:hint="default" w:ascii="仿宋_GB2312" w:hAnsi="宋体" w:eastAsia="仿宋_GB2312" w:cs="仿宋_GB2312"/>
          <w:color w:val="auto"/>
          <w:kern w:val="0"/>
          <w:sz w:val="32"/>
          <w:szCs w:val="32"/>
          <w:lang w:val="en-US" w:eastAsia="zh-CN"/>
        </w:rPr>
      </w:pPr>
    </w:p>
    <w:p w14:paraId="13E9584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宋体" w:eastAsia="仿宋_GB2312" w:cs="仿宋_GB2312"/>
          <w:color w:val="auto"/>
          <w:kern w:val="0"/>
          <w:sz w:val="32"/>
          <w:szCs w:val="32"/>
          <w:lang w:val="en-US" w:eastAsia="zh-CN"/>
        </w:rPr>
      </w:pPr>
    </w:p>
    <w:p w14:paraId="5A00F194">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宋体" w:eastAsia="仿宋_GB2312" w:cs="仿宋_GB2312"/>
          <w:color w:val="auto"/>
          <w:kern w:val="0"/>
          <w:sz w:val="32"/>
          <w:szCs w:val="32"/>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607083F8">
      <w:pPr>
        <w:pStyle w:val="28"/>
        <w:bidi w:val="0"/>
        <w:ind w:left="0" w:leftChars="0" w:firstLine="420" w:firstLineChars="0"/>
        <w:rPr>
          <w:rFonts w:hint="default"/>
          <w:lang w:val="en-US" w:eastAsia="zh-CN"/>
        </w:rPr>
      </w:pPr>
      <w:bookmarkStart w:id="2" w:name="_Ref16409"/>
      <w:r>
        <w:rPr>
          <w:rFonts w:hint="eastAsia"/>
          <w:lang w:val="en-US" w:eastAsia="zh-CN"/>
        </w:rPr>
        <w:t>预约进厂方法及地点</w:t>
      </w:r>
      <w:bookmarkEnd w:id="1"/>
      <w:bookmarkEnd w:id="2"/>
    </w:p>
    <w:p w14:paraId="0A8789E0">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3" w:name="_Toc11074"/>
      <w:r>
        <w:rPr>
          <w:rFonts w:hint="eastAsia" w:ascii="Arial" w:hAnsi="Arial" w:eastAsia="宋体" w:cs="宋体"/>
          <w:sz w:val="28"/>
          <w:szCs w:val="22"/>
          <w:lang w:val="en-US" w:eastAsia="zh-CN" w:bidi="ar-SA"/>
        </w:rPr>
        <w:t>约人员（就是您的工作人员或是陪同人员，想进厂办公）</w:t>
      </w:r>
      <w:bookmarkEnd w:id="3"/>
    </w:p>
    <w:p w14:paraId="7F58BF14">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4" w:name="_Toc29295"/>
      <w:r>
        <w:rPr>
          <w:rFonts w:hint="eastAsia" w:ascii="Arial" w:hAnsi="Arial" w:eastAsia="宋体" w:cs="宋体"/>
          <w:sz w:val="28"/>
          <w:szCs w:val="22"/>
          <w:lang w:val="en-US" w:eastAsia="zh-CN" w:bidi="ar-SA"/>
        </w:rPr>
        <w:t>一人一小车情况</w:t>
      </w:r>
      <w:bookmarkEnd w:id="4"/>
    </w:p>
    <w:p w14:paraId="5F3DCDC8">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3187D410">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2"/>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5"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5"/>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pgSz w:w="11906" w:h="16838"/>
          <w:pgMar w:top="720" w:right="720" w:bottom="720" w:left="720" w:header="851" w:footer="992" w:gutter="0"/>
          <w:pgNumType w:fmt="decimal"/>
          <w:cols w:space="720" w:num="1"/>
          <w:docGrid w:type="lines" w:linePitch="312" w:charSpace="0"/>
        </w:sectPr>
      </w:pPr>
    </w:p>
    <w:p w14:paraId="7103D9E6">
      <w:pPr>
        <w:pStyle w:val="28"/>
        <w:bidi w:val="0"/>
        <w:ind w:left="0" w:leftChars="0" w:firstLine="420" w:firstLineChars="0"/>
        <w:rPr>
          <w:rFonts w:hint="eastAsia"/>
          <w:lang w:val="en-US" w:eastAsia="zh-CN"/>
        </w:rPr>
      </w:pPr>
      <w:r>
        <w:rPr>
          <w:rFonts w:hint="eastAsia"/>
          <w:lang w:val="en-US" w:eastAsia="zh-CN"/>
        </w:rPr>
        <w:t>合同附件使用说明</w:t>
      </w:r>
    </w:p>
    <w:p w14:paraId="0135D0E6">
      <w:pPr>
        <w:pStyle w:val="27"/>
        <w:bidi w:val="0"/>
        <w:jc w:val="center"/>
        <w:rPr>
          <w:rFonts w:hint="eastAsia" w:ascii="黑体" w:hAnsi="黑体" w:eastAsia="黑体" w:cs="黑体"/>
          <w:lang w:val="en-US" w:eastAsia="zh-CN"/>
        </w:rPr>
      </w:pPr>
      <w:r>
        <w:rPr>
          <w:rFonts w:hint="eastAsia" w:ascii="黑体" w:hAnsi="黑体" w:eastAsia="黑体" w:cs="黑体"/>
          <w:lang w:val="en-US" w:eastAsia="zh-CN"/>
        </w:rPr>
        <w:t>使用说明</w:t>
      </w:r>
    </w:p>
    <w:p w14:paraId="3CDDBA4A">
      <w:pPr>
        <w:pStyle w:val="27"/>
        <w:numPr>
          <w:ilvl w:val="0"/>
          <w:numId w:val="11"/>
        </w:numPr>
        <w:bidi w:val="0"/>
        <w:ind w:left="425" w:leftChars="0" w:hanging="425" w:firstLineChars="0"/>
        <w:rPr>
          <w:rFonts w:hint="default" w:ascii="宋体" w:hAnsi="宋体" w:eastAsia="宋体" w:cs="宋体"/>
          <w:lang w:val="en-US" w:eastAsia="zh-CN"/>
        </w:rPr>
      </w:pPr>
      <w:r>
        <w:rPr>
          <w:rFonts w:hint="eastAsia" w:ascii="宋体" w:hAnsi="宋体" w:eastAsia="宋体" w:cs="宋体"/>
          <w:lang w:val="en-US" w:eastAsia="zh-CN"/>
        </w:rPr>
        <w:t>需要提前踏勘现场请阅知</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_Ref16409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附件2</w:t>
      </w:r>
      <w:r>
        <w:rPr>
          <w:rFonts w:hint="eastAsia" w:ascii="宋体" w:hAnsi="宋体" w:eastAsia="宋体" w:cs="宋体"/>
          <w:lang w:val="en-US" w:eastAsia="zh-CN"/>
        </w:rPr>
        <w:fldChar w:fldCharType="end"/>
      </w:r>
      <w:r>
        <w:rPr>
          <w:rFonts w:hint="eastAsia" w:ascii="宋体" w:hAnsi="宋体" w:eastAsia="宋体" w:cs="宋体"/>
          <w:lang w:val="en-US" w:eastAsia="zh-CN"/>
        </w:rPr>
        <w:t>.</w:t>
      </w:r>
    </w:p>
    <w:p w14:paraId="33B47EA1">
      <w:pPr>
        <w:pStyle w:val="27"/>
        <w:numPr>
          <w:ilvl w:val="0"/>
          <w:numId w:val="11"/>
        </w:numPr>
        <w:bidi w:val="0"/>
        <w:ind w:left="425" w:leftChars="0" w:hanging="425" w:firstLineChars="0"/>
        <w:rPr>
          <w:rFonts w:hint="default" w:ascii="宋体" w:hAnsi="宋体" w:eastAsia="宋体" w:cs="宋体"/>
          <w:lang w:val="en-US" w:eastAsia="zh-CN"/>
        </w:rPr>
      </w:pPr>
      <w:r>
        <w:rPr>
          <w:rFonts w:hint="eastAsia" w:ascii="宋体" w:hAnsi="宋体" w:eastAsia="宋体" w:cs="宋体"/>
          <w:lang w:val="en-US" w:eastAsia="zh-CN"/>
        </w:rPr>
        <w:t>需要在循环宝平台报价前，提供资质审核条件请阅知</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_Ref149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附件4</w:t>
      </w:r>
      <w:r>
        <w:rPr>
          <w:rFonts w:hint="eastAsia" w:ascii="宋体" w:hAnsi="宋体" w:eastAsia="宋体" w:cs="宋体"/>
          <w:lang w:val="en-US" w:eastAsia="zh-CN"/>
        </w:rPr>
        <w:fldChar w:fldCharType="end"/>
      </w:r>
      <w:r>
        <w:rPr>
          <w:rFonts w:hint="eastAsia" w:ascii="宋体" w:hAnsi="宋体" w:eastAsia="宋体" w:cs="宋体"/>
          <w:lang w:val="en-US" w:eastAsia="zh-CN"/>
        </w:rPr>
        <w:t>.</w:t>
      </w:r>
    </w:p>
    <w:p w14:paraId="3AE7847A">
      <w:pPr>
        <w:pStyle w:val="27"/>
        <w:numPr>
          <w:ilvl w:val="0"/>
          <w:numId w:val="11"/>
        </w:numPr>
        <w:bidi w:val="0"/>
        <w:ind w:left="425" w:leftChars="0" w:hanging="425" w:firstLineChars="0"/>
        <w:rPr>
          <w:rFonts w:hint="default" w:ascii="宋体" w:hAnsi="宋体" w:eastAsia="宋体" w:cs="宋体"/>
          <w:lang w:val="en-US" w:eastAsia="zh-CN"/>
        </w:rPr>
      </w:pPr>
      <w:r>
        <w:rPr>
          <w:rFonts w:hint="eastAsia" w:ascii="宋体" w:hAnsi="宋体" w:eastAsia="宋体" w:cs="宋体"/>
          <w:lang w:val="en-US" w:eastAsia="zh-CN"/>
        </w:rPr>
        <w:t>签署正式合同请阅知</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_Ref17623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附件5</w:t>
      </w:r>
      <w:r>
        <w:rPr>
          <w:rFonts w:hint="eastAsia" w:ascii="宋体" w:hAnsi="宋体" w:eastAsia="宋体" w:cs="宋体"/>
          <w:lang w:val="en-US" w:eastAsia="zh-CN"/>
        </w:rPr>
        <w:fldChar w:fldCharType="end"/>
      </w:r>
      <w:r>
        <w:rPr>
          <w:rFonts w:hint="eastAsia" w:ascii="宋体" w:hAnsi="宋体" w:eastAsia="宋体" w:cs="宋体"/>
          <w:lang w:val="en-US" w:eastAsia="zh-CN"/>
        </w:rPr>
        <w:t>（或</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_Ref2418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附件6</w:t>
      </w:r>
      <w:r>
        <w:rPr>
          <w:rFonts w:hint="eastAsia" w:ascii="宋体" w:hAnsi="宋体" w:eastAsia="宋体" w:cs="宋体"/>
          <w:lang w:val="en-US" w:eastAsia="zh-CN"/>
        </w:rPr>
        <w:fldChar w:fldCharType="end"/>
      </w:r>
      <w:r>
        <w:rPr>
          <w:rFonts w:hint="eastAsia" w:ascii="宋体" w:hAnsi="宋体" w:eastAsia="宋体" w:cs="宋体"/>
          <w:lang w:val="en-US" w:eastAsia="zh-CN"/>
        </w:rPr>
        <w:t>）、</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_Ref17640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附件8</w:t>
      </w:r>
      <w:r>
        <w:rPr>
          <w:rFonts w:hint="eastAsia" w:ascii="宋体" w:hAnsi="宋体" w:eastAsia="宋体" w:cs="宋体"/>
          <w:lang w:val="en-US" w:eastAsia="zh-CN"/>
        </w:rPr>
        <w:fldChar w:fldCharType="end"/>
      </w:r>
      <w:r>
        <w:rPr>
          <w:rFonts w:hint="eastAsia" w:ascii="宋体" w:hAnsi="宋体" w:eastAsia="宋体" w:cs="宋体"/>
          <w:lang w:val="en-US" w:eastAsia="zh-CN"/>
        </w:rPr>
        <w:t>.</w:t>
      </w:r>
    </w:p>
    <w:p w14:paraId="7941C3AF">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_Ref17623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附件5</w:t>
      </w:r>
      <w:r>
        <w:rPr>
          <w:rFonts w:hint="eastAsia" w:ascii="宋体" w:hAnsi="宋体" w:eastAsia="宋体" w:cs="宋体"/>
          <w:lang w:val="en-US" w:eastAsia="zh-CN"/>
        </w:rPr>
        <w:fldChar w:fldCharType="end"/>
      </w:r>
      <w:r>
        <w:rPr>
          <w:rFonts w:hint="eastAsia" w:ascii="宋体" w:hAnsi="宋体" w:eastAsia="宋体" w:cs="宋体"/>
          <w:lang w:val="en-US" w:eastAsia="zh-CN"/>
        </w:rPr>
        <w:t>（或</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_Ref2418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附件6</w:t>
      </w:r>
      <w:r>
        <w:rPr>
          <w:rFonts w:hint="eastAsia" w:ascii="宋体" w:hAnsi="宋体" w:eastAsia="宋体" w:cs="宋体"/>
          <w:lang w:val="en-US" w:eastAsia="zh-CN"/>
        </w:rPr>
        <w:fldChar w:fldCharType="end"/>
      </w:r>
      <w:r>
        <w:rPr>
          <w:rFonts w:hint="eastAsia" w:ascii="宋体" w:hAnsi="宋体" w:eastAsia="宋体" w:cs="宋体"/>
          <w:lang w:val="en-US" w:eastAsia="zh-CN"/>
        </w:rPr>
        <w:t>）承诺函与</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_Ref17640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附件8</w:t>
      </w:r>
      <w:r>
        <w:rPr>
          <w:rFonts w:hint="eastAsia" w:ascii="宋体" w:hAnsi="宋体" w:eastAsia="宋体" w:cs="宋体"/>
          <w:lang w:val="en-US" w:eastAsia="zh-CN"/>
        </w:rPr>
        <w:fldChar w:fldCharType="end"/>
      </w:r>
      <w:r>
        <w:rPr>
          <w:rFonts w:hint="eastAsia" w:ascii="宋体" w:hAnsi="宋体" w:eastAsia="宋体" w:cs="宋体"/>
          <w:lang w:val="en-US" w:eastAsia="zh-CN"/>
        </w:rPr>
        <w:t>业务澄清说明为一合同一签；</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_Ref17633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附件7</w:t>
      </w:r>
      <w:r>
        <w:rPr>
          <w:rFonts w:hint="eastAsia" w:ascii="宋体" w:hAnsi="宋体" w:eastAsia="宋体" w:cs="宋体"/>
          <w:lang w:val="en-US" w:eastAsia="zh-CN"/>
        </w:rPr>
        <w:fldChar w:fldCharType="end"/>
      </w:r>
      <w:r>
        <w:rPr>
          <w:rFonts w:hint="eastAsia" w:ascii="宋体" w:hAnsi="宋体" w:eastAsia="宋体" w:cs="宋体"/>
          <w:lang w:val="en-US" w:eastAsia="zh-CN"/>
        </w:rPr>
        <w:t>廉洁协议为一单位一签，签过不必重签.</w:t>
      </w:r>
    </w:p>
    <w:p w14:paraId="564F5B65">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打印前一般</w:t>
      </w:r>
      <w:r>
        <w:rPr>
          <w:rFonts w:hint="eastAsia" w:ascii="宋体" w:hAnsi="宋体" w:eastAsia="宋体" w:cs="宋体"/>
          <w:em w:val="dot"/>
          <w:lang w:val="en-US" w:eastAsia="zh-CN"/>
        </w:rPr>
        <w:t>不要轻易做出格式调整</w:t>
      </w:r>
      <w:r>
        <w:rPr>
          <w:rFonts w:hint="eastAsia" w:ascii="宋体" w:hAnsi="宋体" w:eastAsia="宋体" w:cs="宋体"/>
          <w:lang w:val="en-US" w:eastAsia="zh-CN"/>
        </w:rPr>
        <w:t>，文档都经过精调，多余调整可能会错位.</w:t>
      </w:r>
    </w:p>
    <w:p w14:paraId="35FF06A0">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合同以及其他必须得合同附件等各个文件，足份打印、足份签字盖章；签字盖章的地方有重点强调。签字与盖章不要省、不要错位.</w:t>
      </w:r>
    </w:p>
    <w:p w14:paraId="79353482">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注意行政公章与合同公章应用区分.</w:t>
      </w:r>
    </w:p>
    <w:p w14:paraId="79C43B73">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若邮寄请邮寄至地址：山东省日照市山东钢铁日照有限公司协同楼101室，魏经理，0633-7925565.</w:t>
      </w:r>
    </w:p>
    <w:p w14:paraId="71058F2D">
      <w:pPr>
        <w:keepNext/>
        <w:keepLines/>
        <w:widowControl w:val="0"/>
        <w:numPr>
          <w:ilvl w:val="0"/>
          <w:numId w:val="0"/>
        </w:numPr>
        <w:bidi w:val="0"/>
        <w:spacing w:beforeLines="0" w:beforeAutospacing="0" w:afterLines="0" w:afterAutospacing="0" w:line="560" w:lineRule="exact"/>
        <w:ind w:leftChars="0"/>
        <w:jc w:val="both"/>
        <w:outlineLvl w:val="0"/>
        <w:rPr>
          <w:rFonts w:hint="eastAsia" w:ascii="黑体" w:hAnsi="黑体" w:eastAsia="黑体" w:cs="Times New Roman"/>
          <w:kern w:val="44"/>
          <w:sz w:val="32"/>
          <w:szCs w:val="24"/>
          <w:lang w:val="en-US" w:eastAsia="zh-CN" w:bidi="ar-SA"/>
        </w:rPr>
        <w:sectPr>
          <w:pgSz w:w="11906" w:h="16838"/>
          <w:pgMar w:top="720" w:right="720" w:bottom="720" w:left="720" w:header="851" w:footer="992" w:gutter="0"/>
          <w:pgNumType w:fmt="decimal"/>
          <w:cols w:space="720" w:num="1"/>
          <w:docGrid w:type="lines" w:linePitch="312" w:charSpace="0"/>
        </w:sectPr>
      </w:pPr>
    </w:p>
    <w:p w14:paraId="7D3B5829">
      <w:pPr>
        <w:pStyle w:val="28"/>
        <w:bidi w:val="0"/>
        <w:ind w:left="0" w:leftChars="0" w:firstLine="420" w:firstLineChars="0"/>
        <w:rPr>
          <w:rFonts w:hint="eastAsia"/>
          <w:lang w:val="en-US" w:eastAsia="zh-CN"/>
        </w:rPr>
      </w:pPr>
      <w:bookmarkStart w:id="6" w:name="_Ref149"/>
      <w:r>
        <w:rPr>
          <w:rFonts w:hint="eastAsia"/>
          <w:lang w:val="en-US" w:eastAsia="zh-CN"/>
        </w:rPr>
        <w:t>山钢招标采购平台网上上传资质与报价流程</w:t>
      </w:r>
      <w:bookmarkEnd w:id="6"/>
    </w:p>
    <w:p w14:paraId="188CC6A7">
      <w:pPr>
        <w:numPr>
          <w:ilvl w:val="0"/>
          <w:numId w:val="12"/>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w:t>
      </w:r>
      <w:r>
        <w:rPr>
          <w:rFonts w:hint="eastAsia" w:ascii="Times New Roman" w:hAnsi="Times New Roman" w:cs="Times New Roman"/>
          <w:b w:val="0"/>
          <w:bCs w:val="0"/>
          <w:color w:val="auto"/>
          <w:sz w:val="24"/>
          <w:szCs w:val="24"/>
          <w:u w:val="single"/>
          <w:lang w:val="en-US" w:eastAsia="zh-CN"/>
        </w:rPr>
        <w:t>s</w:t>
      </w:r>
      <w:r>
        <w:rPr>
          <w:rFonts w:ascii="Times New Roman" w:hAnsi="Times New Roman" w:eastAsia="宋体" w:cs="Times New Roman"/>
          <w:b w:val="0"/>
          <w:bCs w:val="0"/>
          <w:color w:val="auto"/>
          <w:sz w:val="24"/>
          <w:szCs w:val="24"/>
          <w:u w:val="single"/>
        </w:rPr>
        <w:t>://bams.shansteelgroup.com/Suppliers/Default.aspx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3"/>
                    <a:stretch>
                      <a:fillRect/>
                    </a:stretch>
                  </pic:blipFill>
                  <pic:spPr>
                    <a:xfrm>
                      <a:off x="0" y="0"/>
                      <a:ext cx="5039995" cy="3385185"/>
                    </a:xfrm>
                    <a:prstGeom prst="rect">
                      <a:avLst/>
                    </a:prstGeom>
                    <a:noFill/>
                    <a:ln>
                      <a:noFill/>
                    </a:ln>
                  </pic:spPr>
                </pic:pic>
              </a:graphicData>
            </a:graphic>
          </wp:inline>
        </w:drawing>
      </w:r>
    </w:p>
    <w:p w14:paraId="10B760E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4"/>
                    <a:stretch>
                      <a:fillRect/>
                    </a:stretch>
                  </pic:blipFill>
                  <pic:spPr>
                    <a:xfrm>
                      <a:off x="0" y="0"/>
                      <a:ext cx="5039995" cy="2035175"/>
                    </a:xfrm>
                    <a:prstGeom prst="rect">
                      <a:avLst/>
                    </a:prstGeom>
                    <a:noFill/>
                    <a:ln>
                      <a:noFill/>
                    </a:ln>
                  </pic:spPr>
                </pic:pic>
              </a:graphicData>
            </a:graphic>
          </wp:inline>
        </w:drawing>
      </w:r>
    </w:p>
    <w:p w14:paraId="311276E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5"/>
                    <a:stretch>
                      <a:fillRect/>
                    </a:stretch>
                  </pic:blipFill>
                  <pic:spPr>
                    <a:xfrm>
                      <a:off x="0" y="0"/>
                      <a:ext cx="5039995" cy="2132330"/>
                    </a:xfrm>
                    <a:prstGeom prst="rect">
                      <a:avLst/>
                    </a:prstGeom>
                    <a:noFill/>
                    <a:ln>
                      <a:noFill/>
                    </a:ln>
                  </pic:spPr>
                </pic:pic>
              </a:graphicData>
            </a:graphic>
          </wp:inline>
        </w:drawing>
      </w:r>
    </w:p>
    <w:p w14:paraId="37522B0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6"/>
                    <a:stretch>
                      <a:fillRect/>
                    </a:stretch>
                  </pic:blipFill>
                  <pic:spPr>
                    <a:xfrm>
                      <a:off x="0" y="0"/>
                      <a:ext cx="5039995" cy="5291455"/>
                    </a:xfrm>
                    <a:prstGeom prst="rect">
                      <a:avLst/>
                    </a:prstGeom>
                    <a:noFill/>
                    <a:ln>
                      <a:noFill/>
                    </a:ln>
                  </pic:spPr>
                </pic:pic>
              </a:graphicData>
            </a:graphic>
          </wp:inline>
        </w:drawing>
      </w:r>
    </w:p>
    <w:p w14:paraId="10BE1527">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7"/>
                    <a:stretch>
                      <a:fillRect/>
                    </a:stretch>
                  </pic:blipFill>
                  <pic:spPr>
                    <a:xfrm>
                      <a:off x="0" y="0"/>
                      <a:ext cx="5039995" cy="2435860"/>
                    </a:xfrm>
                    <a:prstGeom prst="rect">
                      <a:avLst/>
                    </a:prstGeom>
                    <a:noFill/>
                    <a:ln>
                      <a:noFill/>
                    </a:ln>
                  </pic:spPr>
                </pic:pic>
              </a:graphicData>
            </a:graphic>
          </wp:inline>
        </w:drawing>
      </w:r>
    </w:p>
    <w:p w14:paraId="105DBD87">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12"/>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8"/>
                    <a:stretch>
                      <a:fillRect/>
                    </a:stretch>
                  </pic:blipFill>
                  <pic:spPr>
                    <a:xfrm>
                      <a:off x="0" y="0"/>
                      <a:ext cx="5039995" cy="1751330"/>
                    </a:xfrm>
                    <a:prstGeom prst="rect">
                      <a:avLst/>
                    </a:prstGeom>
                    <a:noFill/>
                    <a:ln>
                      <a:noFill/>
                    </a:ln>
                  </pic:spPr>
                </pic:pic>
              </a:graphicData>
            </a:graphic>
          </wp:inline>
        </w:drawing>
      </w:r>
    </w:p>
    <w:p w14:paraId="3BC022FE">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9"/>
                    <a:stretch>
                      <a:fillRect/>
                    </a:stretch>
                  </pic:blipFill>
                  <pic:spPr>
                    <a:xfrm>
                      <a:off x="0" y="0"/>
                      <a:ext cx="5039995" cy="2259965"/>
                    </a:xfrm>
                    <a:prstGeom prst="rect">
                      <a:avLst/>
                    </a:prstGeom>
                    <a:noFill/>
                    <a:ln>
                      <a:noFill/>
                    </a:ln>
                  </pic:spPr>
                </pic:pic>
              </a:graphicData>
            </a:graphic>
          </wp:inline>
        </w:drawing>
      </w:r>
    </w:p>
    <w:p w14:paraId="0638EADE">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20"/>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21"/>
                    <a:stretch>
                      <a:fillRect/>
                    </a:stretch>
                  </pic:blipFill>
                  <pic:spPr>
                    <a:xfrm>
                      <a:off x="0" y="0"/>
                      <a:ext cx="5263515" cy="1148715"/>
                    </a:xfrm>
                    <a:prstGeom prst="rect">
                      <a:avLst/>
                    </a:prstGeom>
                    <a:noFill/>
                    <a:ln>
                      <a:noFill/>
                    </a:ln>
                  </pic:spPr>
                </pic:pic>
              </a:graphicData>
            </a:graphic>
          </wp:inline>
        </w:drawing>
      </w:r>
    </w:p>
    <w:p w14:paraId="54B0B50F">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填写数量及单价后，保存，并点击完成投标。填写数量及单价后，保存，并点击完成投标。点击‘增加品种’，并在钢种处添加名称“标段序号”或“名称”，填写数量及单价。</w:t>
      </w:r>
      <w:r>
        <w:rPr>
          <w:rFonts w:hint="eastAsia" w:ascii="Times New Roman" w:hAnsi="Times New Roman" w:eastAsia="宋体" w:cs="Times New Roman"/>
          <w:b w:val="0"/>
          <w:bCs w:val="0"/>
          <w:color w:val="auto"/>
          <w:sz w:val="24"/>
          <w:szCs w:val="24"/>
          <w:highlight w:val="yellow"/>
          <w:lang w:val="en-US" w:eastAsia="zh-CN"/>
        </w:rPr>
        <w:t>建议报价统一填写1</w:t>
      </w:r>
      <w:r>
        <w:rPr>
          <w:rFonts w:hint="eastAsia" w:ascii="Times New Roman" w:hAnsi="Times New Roman" w:cs="Times New Roman"/>
          <w:b w:val="0"/>
          <w:bCs w:val="0"/>
          <w:color w:val="auto"/>
          <w:sz w:val="24"/>
          <w:szCs w:val="24"/>
          <w:highlight w:val="yellow"/>
          <w:lang w:val="en-US" w:eastAsia="zh-CN"/>
        </w:rPr>
        <w:t>元/吨</w:t>
      </w:r>
      <w:r>
        <w:rPr>
          <w:rFonts w:hint="eastAsia" w:ascii="Times New Roman" w:hAnsi="Times New Roman" w:eastAsia="宋体" w:cs="Times New Roman"/>
          <w:b w:val="0"/>
          <w:bCs w:val="0"/>
          <w:color w:val="auto"/>
          <w:sz w:val="24"/>
          <w:szCs w:val="24"/>
          <w:highlight w:val="yellow"/>
          <w:lang w:val="en-US" w:eastAsia="zh-CN"/>
        </w:rPr>
        <w:t>。</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2"/>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7FEFD12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p>
    <w:p w14:paraId="12AC8140">
      <w:pPr>
        <w:pStyle w:val="28"/>
        <w:bidi w:val="0"/>
        <w:ind w:left="0" w:leftChars="0" w:firstLine="420" w:firstLineChars="0"/>
        <w:rPr>
          <w:rFonts w:hint="default"/>
          <w:lang w:val="en-US" w:eastAsia="zh-CN"/>
        </w:rPr>
      </w:pPr>
      <w:bookmarkStart w:id="7" w:name="_Ref8462"/>
      <w:bookmarkStart w:id="8" w:name="_Ref17623"/>
      <w:r>
        <w:rPr>
          <w:rFonts w:hint="default"/>
          <w:lang w:val="en-US" w:eastAsia="zh-CN"/>
        </w:rPr>
        <mc:AlternateContent>
          <mc:Choice Requires="wps">
            <w:drawing>
              <wp:anchor distT="0" distB="0" distL="114300" distR="114300" simplePos="0" relativeHeight="251659264" behindDoc="0" locked="0" layoutInCell="1" allowOverlap="1">
                <wp:simplePos x="0" y="0"/>
                <wp:positionH relativeFrom="column">
                  <wp:posOffset>4666615</wp:posOffset>
                </wp:positionH>
                <wp:positionV relativeFrom="paragraph">
                  <wp:posOffset>-259080</wp:posOffset>
                </wp:positionV>
                <wp:extent cx="1946910" cy="407670"/>
                <wp:effectExtent l="0" t="0" r="8890" b="11430"/>
                <wp:wrapNone/>
                <wp:docPr id="7" name="文本框 37"/>
                <wp:cNvGraphicFramePr/>
                <a:graphic xmlns:a="http://schemas.openxmlformats.org/drawingml/2006/main">
                  <a:graphicData uri="http://schemas.microsoft.com/office/word/2010/wordprocessingShape">
                    <wps:wsp>
                      <wps:cNvSpPr txBox="1"/>
                      <wps:spPr>
                        <a:xfrm>
                          <a:off x="0" y="0"/>
                          <a:ext cx="1946910" cy="407670"/>
                        </a:xfrm>
                        <a:prstGeom prst="rect">
                          <a:avLst/>
                        </a:prstGeom>
                        <a:solidFill>
                          <a:srgbClr val="FFFFFF"/>
                        </a:solidFill>
                        <a:ln>
                          <a:noFill/>
                        </a:ln>
                      </wps:spPr>
                      <wps:txbx>
                        <w:txbxContent>
                          <w:p w14:paraId="49411175">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04D0AA63">
                            <w:pPr>
                              <w:rPr>
                                <w:rFonts w:eastAsia="宋体" w:cs="Times New Roman"/>
                                <w:szCs w:val="24"/>
                              </w:rPr>
                            </w:pPr>
                          </w:p>
                        </w:txbxContent>
                      </wps:txbx>
                      <wps:bodyPr wrap="square" upright="1"/>
                    </wps:wsp>
                  </a:graphicData>
                </a:graphic>
              </wp:anchor>
            </w:drawing>
          </mc:Choice>
          <mc:Fallback>
            <w:pict>
              <v:shape id="文本框 37" o:spid="_x0000_s1026" o:spt="202" type="#_x0000_t202" style="position:absolute;left:0pt;margin-left:367.45pt;margin-top:-20.4pt;height:32.1pt;width:153.3pt;z-index:251659264;mso-width-relative:page;mso-height-relative:page;" fillcolor="#FFFFFF" filled="t" stroked="f" coordsize="21600,21600" o:gfxdata="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&#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Bu3o2QAAAAsBAAAPAAAAAAAAAAEAIAAAACIAAABk&#10;cnMvZG93bnJldi54bWxQSwECFAAUAAAACACHTuJACTqEjcwBAACGAwAADgAAAAAAAAABACAAAAAo&#10;AQAAZHJzL2Uyb0RvYy54bWxQSwUGAAAAAAYABgBZAQAAZgUAAAAA&#10;">
                <v:fill on="t" focussize="0,0"/>
                <v:stroke on="f"/>
                <v:imagedata o:title=""/>
                <o:lock v:ext="edit" aspectratio="f"/>
                <v:textbox>
                  <w:txbxContent>
                    <w:p w14:paraId="49411175">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04D0AA63">
                      <w:pPr>
                        <w:rPr>
                          <w:rFonts w:eastAsia="宋体" w:cs="Times New Roman"/>
                          <w:szCs w:val="24"/>
                        </w:rPr>
                      </w:pPr>
                    </w:p>
                  </w:txbxContent>
                </v:textbox>
              </v:shape>
            </w:pict>
          </mc:Fallback>
        </mc:AlternateContent>
      </w:r>
      <w:r>
        <w:rPr>
          <w:rFonts w:hint="default"/>
          <w:lang w:val="en-US" w:eastAsia="zh-CN"/>
        </w:rPr>
        <w:t>承诺函(</w:t>
      </w:r>
      <w:r>
        <w:rPr>
          <w:rFonts w:hint="eastAsia"/>
          <w:lang w:val="en-US" w:eastAsia="zh-CN"/>
        </w:rPr>
        <w:t>反向竞价</w:t>
      </w:r>
      <w:r>
        <w:rPr>
          <w:rFonts w:hint="default"/>
          <w:lang w:val="en-US" w:eastAsia="zh-CN"/>
        </w:rPr>
        <w:t>方式)</w:t>
      </w:r>
      <w:bookmarkEnd w:id="7"/>
      <w:r>
        <w:rPr>
          <w:rFonts w:hint="default"/>
          <w:lang w:val="en-US" w:eastAsia="zh-CN"/>
        </w:rPr>
        <w:t>（壹式壹份）</w:t>
      </w:r>
    </w:p>
    <w:p w14:paraId="6C9B3D6E">
      <w:pPr>
        <w:spacing w:line="560" w:lineRule="exact"/>
        <w:jc w:val="center"/>
        <w:rPr>
          <w:rFonts w:hint="eastAsia" w:ascii="黑体" w:hAnsi="黑体" w:eastAsia="黑体" w:cs="Times New Roman"/>
          <w:b w:val="0"/>
          <w:kern w:val="44"/>
          <w:sz w:val="28"/>
          <w:szCs w:val="28"/>
          <w:lang w:val="en-US" w:eastAsia="zh-CN" w:bidi="ar-SA"/>
        </w:rPr>
      </w:pPr>
      <w:r>
        <w:rPr>
          <w:rFonts w:hint="eastAsia" w:ascii="黑体" w:hAnsi="黑体" w:eastAsia="黑体" w:cs="Times New Roman"/>
          <w:b w:val="0"/>
          <w:kern w:val="44"/>
          <w:sz w:val="28"/>
          <w:szCs w:val="28"/>
          <w:lang w:val="en-US" w:eastAsia="zh-CN" w:bidi="ar-SA"/>
        </w:rPr>
        <w:t>承诺函</w:t>
      </w:r>
    </w:p>
    <w:p w14:paraId="1752C24F">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按照山东钢铁集团日照有限公司《</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REF 公告名称 \h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日照公司危废物资竞卖</w:t>
      </w:r>
      <w:r>
        <w:rPr>
          <w:rFonts w:hint="default" w:ascii="宋体" w:hAnsi="宋体" w:eastAsia="宋体" w:cs="宋体"/>
          <w:sz w:val="24"/>
          <w:szCs w:val="24"/>
          <w:lang w:val="en-US" w:eastAsia="zh-CN"/>
        </w:rPr>
        <w:t>公告202</w:t>
      </w:r>
      <w:r>
        <w:rPr>
          <w:rFonts w:hint="eastAsia" w:ascii="宋体" w:hAnsi="宋体" w:eastAsia="宋体" w:cs="宋体"/>
          <w:sz w:val="24"/>
          <w:szCs w:val="24"/>
          <w:lang w:val="en-US" w:eastAsia="zh-CN"/>
        </w:rPr>
        <w:t>60305</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rPr>
        <w:t>》的要求，</w:t>
      </w:r>
      <w:r>
        <w:rPr>
          <w:rFonts w:hint="eastAsia" w:ascii="宋体" w:hAnsi="宋体" w:eastAsia="宋体" w:cs="宋体"/>
          <w:sz w:val="24"/>
          <w:szCs w:val="24"/>
          <w:lang w:eastAsia="zh-CN"/>
        </w:rPr>
        <w:t>___________________</w:t>
      </w:r>
      <w:r>
        <w:rPr>
          <w:rFonts w:hint="eastAsia" w:ascii="宋体" w:hAnsi="宋体" w:eastAsia="宋体" w:cs="宋体"/>
          <w:sz w:val="24"/>
          <w:szCs w:val="24"/>
          <w:lang w:val="en-US" w:eastAsia="zh-CN"/>
        </w:rPr>
        <w:t>___________</w:t>
      </w:r>
      <w:r>
        <w:rPr>
          <w:rFonts w:hint="eastAsia" w:ascii="宋体" w:hAnsi="宋体" w:eastAsia="宋体" w:cs="宋体"/>
          <w:sz w:val="24"/>
          <w:szCs w:val="24"/>
        </w:rPr>
        <w:t>公司（以下称：我司）已对现场进行了踏勘，认同货品的品质及现场装车条件。</w:t>
      </w:r>
      <w:r>
        <w:rPr>
          <w:rFonts w:hint="eastAsia" w:ascii="宋体" w:hAnsi="宋体" w:eastAsia="宋体" w:cs="宋体"/>
          <w:sz w:val="24"/>
          <w:szCs w:val="24"/>
          <w:em w:val="dot"/>
          <w:lang w:val="en-US" w:eastAsia="zh-CN"/>
        </w:rPr>
        <w:t>承诺</w:t>
      </w:r>
      <w:r>
        <w:rPr>
          <w:rFonts w:hint="eastAsia" w:ascii="宋体" w:hAnsi="宋体" w:eastAsia="宋体" w:cs="宋体"/>
          <w:sz w:val="24"/>
          <w:szCs w:val="24"/>
          <w:em w:val="dot"/>
        </w:rPr>
        <w:t>年度综合利用处理能力（含本次利用处理量）未达上限</w:t>
      </w:r>
      <w:r>
        <w:rPr>
          <w:rFonts w:hint="eastAsia" w:ascii="宋体" w:hAnsi="宋体" w:cs="宋体"/>
          <w:sz w:val="24"/>
          <w:szCs w:val="24"/>
          <w:em w:val="dot"/>
          <w:lang w:eastAsia="zh-CN"/>
        </w:rPr>
        <w:t>。</w:t>
      </w:r>
    </w:p>
    <w:p w14:paraId="00CCB1B6">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我司承诺：确认</w:t>
      </w:r>
      <w:r>
        <w:rPr>
          <w:rFonts w:hint="eastAsia" w:ascii="宋体" w:hAnsi="宋体" w:cs="宋体"/>
          <w:sz w:val="24"/>
          <w:szCs w:val="24"/>
          <w:u w:val="single" w:color="0070C0"/>
          <w:lang w:val="en-US" w:eastAsia="zh-CN"/>
        </w:rPr>
        <w:t>2026</w:t>
      </w:r>
      <w:r>
        <w:rPr>
          <w:rFonts w:hint="eastAsia" w:ascii="宋体" w:hAnsi="宋体" w:eastAsia="宋体" w:cs="宋体"/>
          <w:sz w:val="24"/>
          <w:szCs w:val="24"/>
        </w:rPr>
        <w:t>年</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，报价如下：</w:t>
      </w:r>
    </w:p>
    <w:tbl>
      <w:tblPr>
        <w:tblStyle w:val="17"/>
        <w:tblW w:w="489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677"/>
        <w:gridCol w:w="5632"/>
      </w:tblGrid>
      <w:tr w14:paraId="55F5B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0D7675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有/无分包</w:t>
            </w:r>
          </w:p>
        </w:tc>
        <w:tc>
          <w:tcPr>
            <w:tcW w:w="2678" w:type="dxa"/>
            <w:tcBorders>
              <w:bottom w:val="single" w:color="auto" w:sz="4" w:space="0"/>
            </w:tcBorders>
            <w:noWrap w:val="0"/>
            <w:vAlign w:val="top"/>
          </w:tcPr>
          <w:p w14:paraId="10EDF3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包号</w:t>
            </w:r>
          </w:p>
        </w:tc>
        <w:tc>
          <w:tcPr>
            <w:tcW w:w="5633" w:type="dxa"/>
            <w:tcBorders>
              <w:bottom w:val="single" w:color="auto" w:sz="4" w:space="0"/>
            </w:tcBorders>
            <w:noWrap w:val="0"/>
            <w:vAlign w:val="top"/>
          </w:tcPr>
          <w:p w14:paraId="143AF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最终报价</w:t>
            </w:r>
          </w:p>
        </w:tc>
      </w:tr>
      <w:tr w14:paraId="5A6AF3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7E613C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无分包□</w:t>
            </w:r>
          </w:p>
        </w:tc>
        <w:tc>
          <w:tcPr>
            <w:tcW w:w="2678" w:type="dxa"/>
            <w:tcBorders>
              <w:bottom w:val="single" w:color="auto" w:sz="4" w:space="0"/>
            </w:tcBorders>
            <w:noWrap w:val="0"/>
            <w:vAlign w:val="top"/>
          </w:tcPr>
          <w:p w14:paraId="3229C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c>
          <w:tcPr>
            <w:tcW w:w="5633" w:type="dxa"/>
            <w:tcBorders>
              <w:bottom w:val="single" w:color="auto" w:sz="4" w:space="0"/>
            </w:tcBorders>
            <w:noWrap w:val="0"/>
            <w:vAlign w:val="top"/>
          </w:tcPr>
          <w:p w14:paraId="15704101">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元/吨</w:t>
            </w:r>
          </w:p>
        </w:tc>
      </w:tr>
      <w:tr w14:paraId="7CDC1A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restart"/>
            <w:tcBorders>
              <w:top w:val="single" w:color="auto" w:sz="4" w:space="0"/>
              <w:right w:val="single" w:color="auto" w:sz="4" w:space="0"/>
            </w:tcBorders>
            <w:noWrap w:val="0"/>
            <w:vAlign w:val="center"/>
          </w:tcPr>
          <w:p w14:paraId="194ABEE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有分包□</w:t>
            </w:r>
          </w:p>
        </w:tc>
        <w:tc>
          <w:tcPr>
            <w:tcW w:w="2678" w:type="dxa"/>
            <w:tcBorders>
              <w:top w:val="single" w:color="auto" w:sz="4" w:space="0"/>
              <w:left w:val="single" w:color="auto" w:sz="4" w:space="0"/>
              <w:bottom w:val="single" w:color="auto" w:sz="4" w:space="0"/>
              <w:right w:val="single" w:color="auto" w:sz="4" w:space="0"/>
            </w:tcBorders>
            <w:noWrap w:val="0"/>
            <w:vAlign w:val="top"/>
          </w:tcPr>
          <w:p w14:paraId="4E06F168">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A包</w:t>
            </w:r>
          </w:p>
        </w:tc>
        <w:tc>
          <w:tcPr>
            <w:tcW w:w="5633" w:type="dxa"/>
            <w:tcBorders>
              <w:top w:val="single" w:color="auto" w:sz="4" w:space="0"/>
              <w:left w:val="single" w:color="auto" w:sz="4" w:space="0"/>
              <w:bottom w:val="single" w:color="auto" w:sz="4" w:space="0"/>
              <w:right w:val="nil"/>
            </w:tcBorders>
            <w:noWrap w:val="0"/>
            <w:vAlign w:val="top"/>
          </w:tcPr>
          <w:p w14:paraId="754A8BAF">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9FE2B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562E17A1">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0756887E">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B包</w:t>
            </w:r>
          </w:p>
        </w:tc>
        <w:tc>
          <w:tcPr>
            <w:tcW w:w="5633" w:type="dxa"/>
            <w:tcBorders>
              <w:top w:val="single" w:color="auto" w:sz="4" w:space="0"/>
              <w:left w:val="single" w:color="auto" w:sz="4" w:space="0"/>
              <w:bottom w:val="single" w:color="auto" w:sz="4" w:space="0"/>
              <w:right w:val="nil"/>
            </w:tcBorders>
            <w:noWrap w:val="0"/>
            <w:vAlign w:val="top"/>
          </w:tcPr>
          <w:p w14:paraId="57A34F7B">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68A4A6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7AFA473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5632F866">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C包</w:t>
            </w:r>
          </w:p>
        </w:tc>
        <w:tc>
          <w:tcPr>
            <w:tcW w:w="5633" w:type="dxa"/>
            <w:tcBorders>
              <w:top w:val="single" w:color="auto" w:sz="4" w:space="0"/>
              <w:left w:val="single" w:color="auto" w:sz="4" w:space="0"/>
              <w:bottom w:val="single" w:color="auto" w:sz="4" w:space="0"/>
              <w:right w:val="nil"/>
            </w:tcBorders>
            <w:noWrap w:val="0"/>
            <w:vAlign w:val="top"/>
          </w:tcPr>
          <w:p w14:paraId="11598515">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35621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087F1C3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4E734A28">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D包</w:t>
            </w:r>
          </w:p>
        </w:tc>
        <w:tc>
          <w:tcPr>
            <w:tcW w:w="5633" w:type="dxa"/>
            <w:tcBorders>
              <w:top w:val="single" w:color="auto" w:sz="4" w:space="0"/>
              <w:left w:val="single" w:color="auto" w:sz="4" w:space="0"/>
              <w:bottom w:val="single" w:color="auto" w:sz="4" w:space="0"/>
              <w:right w:val="nil"/>
            </w:tcBorders>
            <w:noWrap w:val="0"/>
            <w:vAlign w:val="top"/>
          </w:tcPr>
          <w:p w14:paraId="203941FE">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106D87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4B41A1A5">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2A953EB0">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E包</w:t>
            </w:r>
          </w:p>
        </w:tc>
        <w:tc>
          <w:tcPr>
            <w:tcW w:w="5633" w:type="dxa"/>
            <w:tcBorders>
              <w:top w:val="single" w:color="auto" w:sz="4" w:space="0"/>
              <w:left w:val="single" w:color="auto" w:sz="4" w:space="0"/>
              <w:bottom w:val="single" w:color="auto" w:sz="4" w:space="0"/>
              <w:right w:val="nil"/>
            </w:tcBorders>
            <w:noWrap w:val="0"/>
            <w:vAlign w:val="top"/>
          </w:tcPr>
          <w:p w14:paraId="51D04136">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1D8254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367F4B23">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6913D537">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F包</w:t>
            </w:r>
          </w:p>
        </w:tc>
        <w:tc>
          <w:tcPr>
            <w:tcW w:w="5633" w:type="dxa"/>
            <w:tcBorders>
              <w:top w:val="single" w:color="auto" w:sz="4" w:space="0"/>
              <w:left w:val="single" w:color="auto" w:sz="4" w:space="0"/>
              <w:bottom w:val="single" w:color="auto" w:sz="4" w:space="0"/>
              <w:right w:val="nil"/>
            </w:tcBorders>
            <w:noWrap w:val="0"/>
            <w:vAlign w:val="top"/>
          </w:tcPr>
          <w:p w14:paraId="26CBEE48">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1F109C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01A2D458">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48669672">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G包</w:t>
            </w:r>
          </w:p>
        </w:tc>
        <w:tc>
          <w:tcPr>
            <w:tcW w:w="5633" w:type="dxa"/>
            <w:tcBorders>
              <w:top w:val="single" w:color="auto" w:sz="4" w:space="0"/>
              <w:left w:val="single" w:color="auto" w:sz="4" w:space="0"/>
              <w:bottom w:val="single" w:color="auto" w:sz="4" w:space="0"/>
              <w:right w:val="nil"/>
            </w:tcBorders>
            <w:noWrap w:val="0"/>
            <w:vAlign w:val="top"/>
          </w:tcPr>
          <w:p w14:paraId="374EB32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bl>
    <w:p w14:paraId="0FF24075">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em w:val="dot"/>
          <w:lang w:val="en-US" w:eastAsia="zh-CN"/>
        </w:rPr>
        <w:t>*若不涉及，则划去。根据实际在有无分包在方框内画√或者画×。</w:t>
      </w:r>
    </w:p>
    <w:p w14:paraId="0331ED90">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上述报价为含税（</w:t>
      </w:r>
      <w:r>
        <w:rPr>
          <w:rFonts w:hint="eastAsia" w:ascii="宋体" w:hAnsi="宋体" w:eastAsia="宋体" w:cs="宋体"/>
          <w:sz w:val="24"/>
          <w:szCs w:val="24"/>
          <w:lang w:val="en-US" w:eastAsia="zh-CN"/>
        </w:rPr>
        <w:t>6</w:t>
      </w:r>
      <w:r>
        <w:rPr>
          <w:rFonts w:hint="eastAsia" w:ascii="宋体" w:hAnsi="宋体" w:eastAsia="宋体" w:cs="宋体"/>
          <w:sz w:val="24"/>
          <w:szCs w:val="24"/>
        </w:rPr>
        <w:t>%）人民币现汇出厂价格。认同竞卖公告中的所有条款，货品运输使用符合山东钢铁集团日照有限公司环保要求的车辆，并按照卖方要求及时派车进行标的物的运输。车辆入厂前确保水箱排空，皮重增减前提前报备，过磅时车上仅留司机一人，严格按照规定路线行驶，听从日照公司现场人员指挥，劳保护品穿戴齐全，做好安全防护，在日照公司现场人员监护下进行装车作业，装货完成后及时退卡出厂。</w:t>
      </w:r>
    </w:p>
    <w:p w14:paraId="550BDC63">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我司同意按照竞卖公告中的要求及上述承诺，承担相应的责任，并向山东钢铁集团日照有限公司缴纳</w:t>
      </w:r>
      <w:r>
        <w:rPr>
          <w:rFonts w:hint="eastAsia" w:ascii="宋体" w:hAnsi="宋体" w:eastAsia="宋体" w:cs="宋体"/>
          <w:sz w:val="24"/>
          <w:szCs w:val="24"/>
          <w:lang w:eastAsia="zh-CN"/>
        </w:rPr>
        <w:t>___________</w:t>
      </w:r>
      <w:r>
        <w:rPr>
          <w:rFonts w:hint="eastAsia" w:ascii="宋体" w:hAnsi="宋体" w:eastAsia="宋体" w:cs="宋体"/>
          <w:sz w:val="24"/>
          <w:szCs w:val="24"/>
        </w:rPr>
        <w:t>元</w:t>
      </w:r>
      <w:r>
        <w:rPr>
          <w:rFonts w:hint="eastAsia" w:ascii="宋体" w:hAnsi="宋体" w:eastAsia="宋体" w:cs="宋体"/>
          <w:sz w:val="24"/>
          <w:szCs w:val="24"/>
          <w:lang w:val="en-US" w:eastAsia="zh-CN"/>
        </w:rPr>
        <w:t>(≥Σ【预中标单价×公告上预估单重×5%】)</w:t>
      </w:r>
      <w:r>
        <w:rPr>
          <w:rFonts w:hint="eastAsia" w:ascii="宋体" w:hAnsi="宋体" w:eastAsia="宋体" w:cs="宋体"/>
          <w:sz w:val="24"/>
          <w:szCs w:val="24"/>
        </w:rPr>
        <w:t>的</w:t>
      </w:r>
      <w:r>
        <w:rPr>
          <w:rFonts w:hint="eastAsia" w:ascii="宋体" w:hAnsi="宋体" w:eastAsia="宋体" w:cs="宋体"/>
          <w:sz w:val="24"/>
          <w:szCs w:val="24"/>
          <w:lang w:val="en-US" w:eastAsia="zh-CN"/>
        </w:rPr>
        <w:t>履约</w:t>
      </w:r>
      <w:r>
        <w:rPr>
          <w:rFonts w:hint="eastAsia" w:ascii="宋体" w:hAnsi="宋体" w:eastAsia="宋体" w:cs="宋体"/>
          <w:sz w:val="24"/>
          <w:szCs w:val="24"/>
        </w:rPr>
        <w:t>保证金。如我司不按时签署合同、缴纳所需款项、违反竞卖公告或已签订合同中的条款，都将按照违约予以处理，并全额扣除该保证金。</w:t>
      </w:r>
    </w:p>
    <w:p w14:paraId="24F1090F">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单位（公章）</w:t>
      </w:r>
    </w:p>
    <w:p w14:paraId="5EABB20E">
      <w:pPr>
        <w:widowControl w:val="0"/>
        <w:spacing w:line="300" w:lineRule="exact"/>
        <w:ind w:left="-178" w:leftChars="-85" w:right="840" w:firstLine="3900" w:firstLineChars="1300"/>
        <w:jc w:val="both"/>
        <w:rPr>
          <w:rFonts w:ascii="仿宋_GB2312" w:hAnsi="仿宋_GB2312" w:eastAsia="仿宋_GB2312" w:cs="仿宋_GB2312"/>
          <w:b w:val="0"/>
          <w:bCs/>
          <w:kern w:val="2"/>
          <w:sz w:val="30"/>
          <w:szCs w:val="30"/>
          <w:lang w:val="en-US" w:eastAsia="zh-CN" w:bidi="ar-SA"/>
        </w:rPr>
      </w:pPr>
    </w:p>
    <w:p w14:paraId="5FA2AA3F">
      <w:pPr>
        <w:widowControl w:val="0"/>
        <w:spacing w:line="300" w:lineRule="exact"/>
        <w:ind w:left="-178" w:leftChars="-85" w:right="840" w:firstLine="3900" w:firstLineChars="1300"/>
        <w:jc w:val="both"/>
        <w:rPr>
          <w:rFonts w:ascii="仿宋_GB2312" w:hAnsi="仿宋_GB2312" w:eastAsia="仿宋_GB2312" w:cs="仿宋_GB2312"/>
          <w:b w:val="0"/>
          <w:bCs/>
          <w:kern w:val="2"/>
          <w:sz w:val="30"/>
          <w:szCs w:val="30"/>
          <w:lang w:val="en-US" w:eastAsia="zh-CN" w:bidi="ar-SA"/>
        </w:rPr>
      </w:pPr>
    </w:p>
    <w:p w14:paraId="1B100180">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仿宋_GB2312" w:hAnsi="仿宋_GB2312" w:eastAsia="仿宋_GB2312" w:cs="仿宋_GB2312"/>
          <w:b w:val="0"/>
          <w:bCs/>
          <w:kern w:val="2"/>
          <w:sz w:val="30"/>
          <w:szCs w:val="30"/>
          <w:lang w:val="en-US" w:eastAsia="zh-CN" w:bidi="ar-SA"/>
        </w:rPr>
      </w:pPr>
      <w:r>
        <w:rPr>
          <w:rFonts w:hint="eastAsia" w:ascii="宋体" w:hAnsi="宋体" w:eastAsia="宋体" w:cs="宋体"/>
          <w:b w:val="0"/>
          <w:bCs w:val="0"/>
          <w:color w:val="auto"/>
          <w:kern w:val="2"/>
          <w:sz w:val="24"/>
          <w:szCs w:val="24"/>
          <w:lang w:val="en-US" w:eastAsia="zh-CN" w:bidi="ar-SA"/>
        </w:rPr>
        <w:t>日期：_____年___月___日</w:t>
      </w:r>
    </w:p>
    <w:p w14:paraId="7DAD1458">
      <w:pPr>
        <w:rPr>
          <w:rFonts w:hint="default"/>
          <w:lang w:val="en-US" w:eastAsia="zh-CN"/>
        </w:rPr>
        <w:sectPr>
          <w:pgSz w:w="11906" w:h="16838"/>
          <w:pgMar w:top="720" w:right="720" w:bottom="720" w:left="720" w:header="851" w:footer="992" w:gutter="0"/>
          <w:pgNumType w:fmt="decimal"/>
          <w:cols w:space="720" w:num="1"/>
          <w:docGrid w:type="lines" w:linePitch="312" w:charSpace="0"/>
        </w:sectPr>
      </w:pPr>
    </w:p>
    <w:p w14:paraId="62AC30A8">
      <w:pPr>
        <w:rPr>
          <w:rFonts w:hint="default"/>
          <w:lang w:val="en-US" w:eastAsia="zh-CN"/>
        </w:rPr>
      </w:pPr>
    </w:p>
    <w:p w14:paraId="7FBFECF0">
      <w:pPr>
        <w:pStyle w:val="28"/>
        <w:bidi w:val="0"/>
        <w:ind w:left="0" w:leftChars="0" w:firstLine="420" w:firstLineChars="0"/>
        <w:rPr>
          <w:rFonts w:hint="default"/>
          <w:lang w:val="en-US" w:eastAsia="zh-CN"/>
        </w:rPr>
      </w:pPr>
      <w:bookmarkStart w:id="9" w:name="_Ref2418"/>
      <w:r>
        <w:rPr>
          <w:rFonts w:hint="eastAsia"/>
          <w:lang w:val="en-US" w:eastAsia="zh-CN"/>
        </w:rPr>
        <w:t>承诺函</w:t>
      </w:r>
      <w:bookmarkEnd w:id="8"/>
      <w:r>
        <w:rPr>
          <w:rFonts w:hint="eastAsia"/>
          <w:lang w:val="en-US" w:eastAsia="zh-CN"/>
        </w:rPr>
        <w:t>(公开增价方式)</w:t>
      </w:r>
      <w:bookmarkEnd w:id="9"/>
      <w:r>
        <w:rPr>
          <w:rFonts w:hint="eastAsia"/>
          <w:lang w:val="en-US" w:eastAsia="zh-CN"/>
        </w:rPr>
        <w:t>（壹式壹份）</w:t>
      </w:r>
      <w:r>
        <w:rPr>
          <w:rFonts w:hint="eastAsia"/>
          <w:lang w:val="en-US" w:eastAsia="zh-CN"/>
        </w:rPr>
        <mc:AlternateContent>
          <mc:Choice Requires="wps">
            <w:drawing>
              <wp:anchor distT="0" distB="0" distL="114300" distR="114300" simplePos="0" relativeHeight="251660288" behindDoc="0" locked="0" layoutInCell="1" allowOverlap="1">
                <wp:simplePos x="0" y="0"/>
                <wp:positionH relativeFrom="column">
                  <wp:posOffset>4666615</wp:posOffset>
                </wp:positionH>
                <wp:positionV relativeFrom="paragraph">
                  <wp:posOffset>-457200</wp:posOffset>
                </wp:positionV>
                <wp:extent cx="1946910" cy="407670"/>
                <wp:effectExtent l="0" t="0" r="8890" b="11430"/>
                <wp:wrapNone/>
                <wp:docPr id="8" name="文本框 38"/>
                <wp:cNvGraphicFramePr/>
                <a:graphic xmlns:a="http://schemas.openxmlformats.org/drawingml/2006/main">
                  <a:graphicData uri="http://schemas.microsoft.com/office/word/2010/wordprocessingShape">
                    <wps:wsp>
                      <wps:cNvSpPr txBox="1"/>
                      <wps:spPr>
                        <a:xfrm>
                          <a:off x="0" y="0"/>
                          <a:ext cx="1946910" cy="407670"/>
                        </a:xfrm>
                        <a:prstGeom prst="rect">
                          <a:avLst/>
                        </a:prstGeom>
                        <a:solidFill>
                          <a:srgbClr val="FFFFFF"/>
                        </a:solidFill>
                        <a:ln>
                          <a:noFill/>
                        </a:ln>
                      </wps:spPr>
                      <wps:txbx>
                        <w:txbxContent>
                          <w:p w14:paraId="734EEAE0">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1870CAB9">
                            <w:pPr>
                              <w:rPr>
                                <w:rFonts w:eastAsia="宋体" w:cs="Times New Roman"/>
                                <w:szCs w:val="24"/>
                              </w:rPr>
                            </w:pPr>
                          </w:p>
                        </w:txbxContent>
                      </wps:txbx>
                      <wps:bodyPr wrap="square" upright="1"/>
                    </wps:wsp>
                  </a:graphicData>
                </a:graphic>
              </wp:anchor>
            </w:drawing>
          </mc:Choice>
          <mc:Fallback>
            <w:pict>
              <v:shape id="文本框 38" o:spid="_x0000_s1026" o:spt="202" type="#_x0000_t202" style="position:absolute;left:0pt;margin-left:367.45pt;margin-top:-36pt;height:32.1pt;width:153.3pt;z-index:251660288;mso-width-relative:page;mso-height-relative:page;" fillcolor="#FFFFFF" filled="t" stroked="f" coordsize="21600,21600" o:gfxdata="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LGWO2AAAAAsBAAAPAAAAAAAAAAEAIAAAACIAAABk&#10;cnMvZG93bnJldi54bWxQSwECFAAUAAAACACHTuJAi3ctm80BAACGAwAADgAAAAAAAAABACAAAAAn&#10;AQAAZHJzL2Uyb0RvYy54bWxQSwUGAAAAAAYABgBZAQAAZgUAAAAA&#10;">
                <v:fill on="t" focussize="0,0"/>
                <v:stroke on="f"/>
                <v:imagedata o:title=""/>
                <o:lock v:ext="edit" aspectratio="f"/>
                <v:textbox>
                  <w:txbxContent>
                    <w:p w14:paraId="734EEAE0">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1870CAB9">
                      <w:pPr>
                        <w:rPr>
                          <w:rFonts w:eastAsia="宋体" w:cs="Times New Roman"/>
                          <w:szCs w:val="24"/>
                        </w:rPr>
                      </w:pPr>
                    </w:p>
                  </w:txbxContent>
                </v:textbox>
              </v:shape>
            </w:pict>
          </mc:Fallback>
        </mc:AlternateContent>
      </w:r>
    </w:p>
    <w:p w14:paraId="5F655749">
      <w:pPr>
        <w:spacing w:line="560" w:lineRule="exact"/>
        <w:jc w:val="center"/>
        <w:rPr>
          <w:rFonts w:hint="eastAsia" w:ascii="黑体" w:hAnsi="黑体" w:eastAsia="黑体" w:cs="Times New Roman"/>
          <w:b w:val="0"/>
          <w:kern w:val="44"/>
          <w:sz w:val="28"/>
          <w:szCs w:val="28"/>
          <w:lang w:val="en-US" w:eastAsia="zh-CN" w:bidi="ar-SA"/>
        </w:rPr>
      </w:pPr>
      <w:r>
        <w:rPr>
          <w:rFonts w:hint="eastAsia" w:ascii="黑体" w:hAnsi="黑体" w:eastAsia="黑体" w:cs="Times New Roman"/>
          <w:b w:val="0"/>
          <w:kern w:val="44"/>
          <w:sz w:val="28"/>
          <w:szCs w:val="28"/>
          <w:lang w:val="en-US" w:eastAsia="zh-CN" w:bidi="ar-SA"/>
        </w:rPr>
        <w:t>承诺函</w:t>
      </w:r>
    </w:p>
    <w:p w14:paraId="27919DD4">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按照山东钢铁集团日照有限公司《</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REF 公告名称 \h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日照公司危废物资竞卖</w:t>
      </w:r>
      <w:r>
        <w:rPr>
          <w:rFonts w:hint="default" w:ascii="宋体" w:hAnsi="宋体" w:eastAsia="宋体" w:cs="宋体"/>
          <w:sz w:val="24"/>
          <w:szCs w:val="24"/>
          <w:lang w:val="en-US" w:eastAsia="zh-CN"/>
        </w:rPr>
        <w:t>公告202</w:t>
      </w:r>
      <w:r>
        <w:rPr>
          <w:rFonts w:hint="eastAsia" w:ascii="宋体" w:hAnsi="宋体" w:eastAsia="宋体" w:cs="宋体"/>
          <w:sz w:val="24"/>
          <w:szCs w:val="24"/>
          <w:lang w:val="en-US" w:eastAsia="zh-CN"/>
        </w:rPr>
        <w:t>60305</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br2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br2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br2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rPr>
        <w:t>》的要求，</w:t>
      </w:r>
      <w:r>
        <w:rPr>
          <w:rFonts w:hint="eastAsia" w:ascii="宋体" w:hAnsi="宋体" w:eastAsia="宋体" w:cs="宋体"/>
          <w:sz w:val="24"/>
          <w:szCs w:val="24"/>
          <w:lang w:eastAsia="zh-CN"/>
        </w:rPr>
        <w:t>___________________</w:t>
      </w:r>
      <w:r>
        <w:rPr>
          <w:rFonts w:hint="eastAsia" w:ascii="宋体" w:hAnsi="宋体" w:eastAsia="宋体" w:cs="宋体"/>
          <w:sz w:val="24"/>
          <w:szCs w:val="24"/>
          <w:lang w:val="en-US" w:eastAsia="zh-CN"/>
        </w:rPr>
        <w:t>___________</w:t>
      </w:r>
      <w:r>
        <w:rPr>
          <w:rFonts w:hint="eastAsia" w:ascii="宋体" w:hAnsi="宋体" w:eastAsia="宋体" w:cs="宋体"/>
          <w:sz w:val="24"/>
          <w:szCs w:val="24"/>
        </w:rPr>
        <w:t>公司（以下称：我司）已对现场进行了踏勘，认同货品的品质及现场装车条件。</w:t>
      </w:r>
      <w:r>
        <w:rPr>
          <w:rFonts w:hint="eastAsia" w:ascii="宋体" w:hAnsi="宋体" w:eastAsia="宋体" w:cs="宋体"/>
          <w:sz w:val="24"/>
          <w:szCs w:val="24"/>
          <w:em w:val="dot"/>
          <w:lang w:val="en-US" w:eastAsia="zh-CN"/>
        </w:rPr>
        <w:t>承诺</w:t>
      </w:r>
      <w:r>
        <w:rPr>
          <w:rFonts w:hint="eastAsia" w:ascii="宋体" w:hAnsi="宋体" w:eastAsia="宋体" w:cs="宋体"/>
          <w:sz w:val="24"/>
          <w:szCs w:val="24"/>
          <w:em w:val="dot"/>
        </w:rPr>
        <w:t>年度综合利用处理能力（含本次利用处理量）未达上限</w:t>
      </w:r>
      <w:r>
        <w:rPr>
          <w:rFonts w:hint="eastAsia" w:ascii="宋体" w:hAnsi="宋体" w:cs="宋体"/>
          <w:sz w:val="24"/>
          <w:szCs w:val="24"/>
          <w:em w:val="dot"/>
          <w:lang w:eastAsia="zh-CN"/>
        </w:rPr>
        <w:t>。</w:t>
      </w:r>
    </w:p>
    <w:p w14:paraId="38B18130">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我司承诺：确认</w:t>
      </w:r>
      <w:r>
        <w:rPr>
          <w:rFonts w:hint="eastAsia" w:ascii="宋体" w:hAnsi="宋体" w:cs="宋体"/>
          <w:sz w:val="24"/>
          <w:szCs w:val="24"/>
          <w:u w:val="single" w:color="0070C0"/>
          <w:lang w:val="en-US" w:eastAsia="zh-CN"/>
        </w:rPr>
        <w:t>2026</w:t>
      </w:r>
      <w:r>
        <w:rPr>
          <w:rFonts w:hint="eastAsia" w:ascii="宋体" w:hAnsi="宋体" w:eastAsia="宋体" w:cs="宋体"/>
          <w:sz w:val="24"/>
          <w:szCs w:val="24"/>
        </w:rPr>
        <w:t>年</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，报价如下：</w:t>
      </w:r>
    </w:p>
    <w:tbl>
      <w:tblPr>
        <w:tblStyle w:val="17"/>
        <w:tblW w:w="489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677"/>
        <w:gridCol w:w="5632"/>
      </w:tblGrid>
      <w:tr w14:paraId="3F1813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2F2B93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有/无分包</w:t>
            </w:r>
          </w:p>
        </w:tc>
        <w:tc>
          <w:tcPr>
            <w:tcW w:w="2678" w:type="dxa"/>
            <w:tcBorders>
              <w:bottom w:val="single" w:color="auto" w:sz="4" w:space="0"/>
            </w:tcBorders>
            <w:noWrap w:val="0"/>
            <w:vAlign w:val="top"/>
          </w:tcPr>
          <w:p w14:paraId="7F59B5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包号</w:t>
            </w:r>
          </w:p>
        </w:tc>
        <w:tc>
          <w:tcPr>
            <w:tcW w:w="5633" w:type="dxa"/>
            <w:tcBorders>
              <w:bottom w:val="single" w:color="auto" w:sz="4" w:space="0"/>
            </w:tcBorders>
            <w:noWrap w:val="0"/>
            <w:vAlign w:val="top"/>
          </w:tcPr>
          <w:p w14:paraId="65FCFE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最终报价</w:t>
            </w:r>
          </w:p>
        </w:tc>
      </w:tr>
      <w:tr w14:paraId="6A0AA2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48B9BA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无分包□</w:t>
            </w:r>
          </w:p>
        </w:tc>
        <w:tc>
          <w:tcPr>
            <w:tcW w:w="2678" w:type="dxa"/>
            <w:tcBorders>
              <w:bottom w:val="single" w:color="auto" w:sz="4" w:space="0"/>
            </w:tcBorders>
            <w:noWrap w:val="0"/>
            <w:vAlign w:val="top"/>
          </w:tcPr>
          <w:p w14:paraId="2F4751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c>
          <w:tcPr>
            <w:tcW w:w="5633" w:type="dxa"/>
            <w:tcBorders>
              <w:bottom w:val="single" w:color="auto" w:sz="4" w:space="0"/>
            </w:tcBorders>
            <w:noWrap w:val="0"/>
            <w:vAlign w:val="top"/>
          </w:tcPr>
          <w:p w14:paraId="365D09DE">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元/吨</w:t>
            </w:r>
          </w:p>
        </w:tc>
      </w:tr>
      <w:tr w14:paraId="0FCEC1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restart"/>
            <w:tcBorders>
              <w:top w:val="single" w:color="auto" w:sz="4" w:space="0"/>
              <w:right w:val="single" w:color="auto" w:sz="4" w:space="0"/>
            </w:tcBorders>
            <w:noWrap w:val="0"/>
            <w:vAlign w:val="center"/>
          </w:tcPr>
          <w:p w14:paraId="7E8CDAF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有分包□</w:t>
            </w:r>
          </w:p>
        </w:tc>
        <w:tc>
          <w:tcPr>
            <w:tcW w:w="2678" w:type="dxa"/>
            <w:tcBorders>
              <w:top w:val="single" w:color="auto" w:sz="4" w:space="0"/>
              <w:left w:val="single" w:color="auto" w:sz="4" w:space="0"/>
              <w:bottom w:val="single" w:color="auto" w:sz="4" w:space="0"/>
              <w:right w:val="single" w:color="auto" w:sz="4" w:space="0"/>
            </w:tcBorders>
            <w:noWrap w:val="0"/>
            <w:vAlign w:val="top"/>
          </w:tcPr>
          <w:p w14:paraId="5704187C">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A包</w:t>
            </w:r>
          </w:p>
        </w:tc>
        <w:tc>
          <w:tcPr>
            <w:tcW w:w="5633" w:type="dxa"/>
            <w:tcBorders>
              <w:top w:val="single" w:color="auto" w:sz="4" w:space="0"/>
              <w:left w:val="single" w:color="auto" w:sz="4" w:space="0"/>
              <w:bottom w:val="single" w:color="auto" w:sz="4" w:space="0"/>
              <w:right w:val="nil"/>
            </w:tcBorders>
            <w:noWrap w:val="0"/>
            <w:vAlign w:val="top"/>
          </w:tcPr>
          <w:p w14:paraId="527EBF6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8C247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52C503B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1F56C284">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B包</w:t>
            </w:r>
          </w:p>
        </w:tc>
        <w:tc>
          <w:tcPr>
            <w:tcW w:w="5633" w:type="dxa"/>
            <w:tcBorders>
              <w:top w:val="single" w:color="auto" w:sz="4" w:space="0"/>
              <w:left w:val="single" w:color="auto" w:sz="4" w:space="0"/>
              <w:bottom w:val="single" w:color="auto" w:sz="4" w:space="0"/>
              <w:right w:val="nil"/>
            </w:tcBorders>
            <w:noWrap w:val="0"/>
            <w:vAlign w:val="top"/>
          </w:tcPr>
          <w:p w14:paraId="5BA0B26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351A5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00ED76C1">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7D00CBFB">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C包</w:t>
            </w:r>
          </w:p>
        </w:tc>
        <w:tc>
          <w:tcPr>
            <w:tcW w:w="5633" w:type="dxa"/>
            <w:tcBorders>
              <w:top w:val="single" w:color="auto" w:sz="4" w:space="0"/>
              <w:left w:val="single" w:color="auto" w:sz="4" w:space="0"/>
              <w:bottom w:val="single" w:color="auto" w:sz="4" w:space="0"/>
              <w:right w:val="nil"/>
            </w:tcBorders>
            <w:noWrap w:val="0"/>
            <w:vAlign w:val="top"/>
          </w:tcPr>
          <w:p w14:paraId="4308946E">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6882DF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4C56406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3C2851E2">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D包</w:t>
            </w:r>
          </w:p>
        </w:tc>
        <w:tc>
          <w:tcPr>
            <w:tcW w:w="5633" w:type="dxa"/>
            <w:tcBorders>
              <w:top w:val="single" w:color="auto" w:sz="4" w:space="0"/>
              <w:left w:val="single" w:color="auto" w:sz="4" w:space="0"/>
              <w:bottom w:val="single" w:color="auto" w:sz="4" w:space="0"/>
              <w:right w:val="nil"/>
            </w:tcBorders>
            <w:noWrap w:val="0"/>
            <w:vAlign w:val="top"/>
          </w:tcPr>
          <w:p w14:paraId="5A89F78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272970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28BED17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6C0DB935">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E包</w:t>
            </w:r>
          </w:p>
        </w:tc>
        <w:tc>
          <w:tcPr>
            <w:tcW w:w="5633" w:type="dxa"/>
            <w:tcBorders>
              <w:top w:val="single" w:color="auto" w:sz="4" w:space="0"/>
              <w:left w:val="single" w:color="auto" w:sz="4" w:space="0"/>
              <w:bottom w:val="single" w:color="auto" w:sz="4" w:space="0"/>
              <w:right w:val="nil"/>
            </w:tcBorders>
            <w:noWrap w:val="0"/>
            <w:vAlign w:val="top"/>
          </w:tcPr>
          <w:p w14:paraId="1264091A">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BA8EC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7C965918">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64F67406">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F包</w:t>
            </w:r>
          </w:p>
        </w:tc>
        <w:tc>
          <w:tcPr>
            <w:tcW w:w="5633" w:type="dxa"/>
            <w:tcBorders>
              <w:top w:val="single" w:color="auto" w:sz="4" w:space="0"/>
              <w:left w:val="single" w:color="auto" w:sz="4" w:space="0"/>
              <w:bottom w:val="single" w:color="auto" w:sz="4" w:space="0"/>
              <w:right w:val="nil"/>
            </w:tcBorders>
            <w:noWrap w:val="0"/>
            <w:vAlign w:val="top"/>
          </w:tcPr>
          <w:p w14:paraId="1FD7510D">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658742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7EC7B586">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49E4560F">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G包</w:t>
            </w:r>
          </w:p>
        </w:tc>
        <w:tc>
          <w:tcPr>
            <w:tcW w:w="5633" w:type="dxa"/>
            <w:tcBorders>
              <w:top w:val="single" w:color="auto" w:sz="4" w:space="0"/>
              <w:left w:val="single" w:color="auto" w:sz="4" w:space="0"/>
              <w:bottom w:val="single" w:color="auto" w:sz="4" w:space="0"/>
              <w:right w:val="nil"/>
            </w:tcBorders>
            <w:noWrap w:val="0"/>
            <w:vAlign w:val="top"/>
          </w:tcPr>
          <w:p w14:paraId="6EDAADA2">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bl>
    <w:p w14:paraId="67789379">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em w:val="dot"/>
          <w:lang w:val="en-US" w:eastAsia="zh-CN"/>
        </w:rPr>
      </w:pPr>
      <w:r>
        <w:rPr>
          <w:rFonts w:hint="eastAsia" w:ascii="宋体" w:hAnsi="宋体" w:eastAsia="宋体" w:cs="宋体"/>
          <w:sz w:val="24"/>
          <w:szCs w:val="24"/>
          <w:em w:val="dot"/>
          <w:lang w:val="en-US" w:eastAsia="zh-CN"/>
        </w:rPr>
        <w:t>*若不涉及，则划去。根据实际在有无分包在方框内画√或者画×。</w:t>
      </w:r>
    </w:p>
    <w:p w14:paraId="2FEB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报价为含税（13%）人民币现汇出厂价格。认同竞卖公告中的所有条款，货品运输使用符合山东钢铁集团日照有限公司环保要求的车辆，并按照买方要求及时派车进行标的物的运输。车辆入厂前确保水箱排空，皮重增减前提前报备，过磅时车上仅留司机一人，严格按照规定路线行驶，听从日照公司现场人员指挥，劳保护品穿戴齐全，做好安全防护，在日照公司现场人员监护下进行装车作业，装货完成后及时退卡出厂。</w:t>
      </w:r>
    </w:p>
    <w:p w14:paraId="19B3E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我司同意按照竞卖公告中的要求及上述承诺，承担相应的责任，</w:t>
      </w:r>
      <w:r>
        <w:rPr>
          <w:rFonts w:hint="eastAsia" w:ascii="宋体" w:hAnsi="宋体" w:eastAsia="宋体" w:cs="宋体"/>
          <w:sz w:val="24"/>
          <w:szCs w:val="24"/>
          <w:lang w:val="en-US" w:eastAsia="zh-CN"/>
        </w:rPr>
        <w:t>于开标日当天16:00前，</w:t>
      </w:r>
      <w:r>
        <w:rPr>
          <w:rFonts w:hint="eastAsia" w:ascii="宋体" w:hAnsi="宋体" w:eastAsia="宋体" w:cs="宋体"/>
          <w:sz w:val="24"/>
          <w:szCs w:val="24"/>
        </w:rPr>
        <w:t>向山东钢铁集团日照有限公司缴纳</w:t>
      </w:r>
      <w:r>
        <w:rPr>
          <w:rFonts w:hint="eastAsia" w:ascii="宋体" w:hAnsi="宋体" w:eastAsia="宋体" w:cs="宋体"/>
          <w:sz w:val="24"/>
          <w:szCs w:val="24"/>
          <w:lang w:eastAsia="zh-CN"/>
        </w:rPr>
        <w:t>___________</w:t>
      </w:r>
      <w:r>
        <w:rPr>
          <w:rFonts w:hint="eastAsia" w:ascii="宋体" w:hAnsi="宋体" w:eastAsia="宋体" w:cs="宋体"/>
          <w:sz w:val="24"/>
          <w:szCs w:val="24"/>
        </w:rPr>
        <w:t>元</w:t>
      </w:r>
      <w:r>
        <w:rPr>
          <w:rFonts w:hint="eastAsia" w:ascii="宋体" w:hAnsi="宋体" w:eastAsia="宋体" w:cs="宋体"/>
          <w:sz w:val="24"/>
          <w:szCs w:val="24"/>
          <w:lang w:val="en-US" w:eastAsia="zh-CN"/>
        </w:rPr>
        <w:t>(≥Σ【预中标单价×公告上预估单重×20%】)</w:t>
      </w:r>
      <w:r>
        <w:rPr>
          <w:rFonts w:hint="eastAsia" w:ascii="宋体" w:hAnsi="宋体" w:eastAsia="宋体" w:cs="宋体"/>
          <w:sz w:val="24"/>
          <w:szCs w:val="24"/>
        </w:rPr>
        <w:t>的预付订金。如我司不按时签署合同，缴纳所需款项，违反竞买公告及已签订合同中的条款，都将按照违约予以处理，并全额扣除该预付订金。</w:t>
      </w:r>
    </w:p>
    <w:p w14:paraId="16BF43E8">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both"/>
        <w:textAlignment w:val="auto"/>
        <w:rPr>
          <w:rFonts w:hint="eastAsia" w:ascii="宋体" w:hAnsi="宋体" w:eastAsia="宋体" w:cs="宋体"/>
          <w:b w:val="0"/>
          <w:bCs/>
          <w:color w:val="auto"/>
          <w:kern w:val="2"/>
          <w:sz w:val="24"/>
          <w:szCs w:val="24"/>
          <w:lang w:val="en-US" w:eastAsia="zh-CN" w:bidi="ar-SA"/>
        </w:rPr>
      </w:pPr>
    </w:p>
    <w:p w14:paraId="4F085592">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单位（公章）</w:t>
      </w:r>
    </w:p>
    <w:p w14:paraId="2218C5C0">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4"/>
          <w:szCs w:val="24"/>
          <w:lang w:val="en-US" w:eastAsia="zh-CN" w:bidi="ar-SA"/>
        </w:rPr>
        <w:t>日期：_____年___月___日</w:t>
      </w:r>
    </w:p>
    <w:p w14:paraId="0B899F07">
      <w:pPr>
        <w:keepNext w:val="0"/>
        <w:keepLines w:val="0"/>
        <w:pageBreakBefore w:val="0"/>
        <w:widowControl w:val="0"/>
        <w:kinsoku/>
        <w:wordWrap w:val="0"/>
        <w:overflowPunct/>
        <w:topLinePunct w:val="0"/>
        <w:autoSpaceDE/>
        <w:autoSpaceDN/>
        <w:bidi w:val="0"/>
        <w:adjustRightInd/>
        <w:spacing w:line="520" w:lineRule="exact"/>
        <w:ind w:right="0" w:firstLine="4480" w:firstLineChars="1400"/>
        <w:jc w:val="both"/>
        <w:textAlignment w:val="auto"/>
        <w:rPr>
          <w:rFonts w:hint="default" w:ascii="仿宋_GB2312" w:hAnsi="宋体" w:eastAsia="仿宋_GB2312" w:cs="仿宋_GB2312"/>
          <w:kern w:val="0"/>
          <w:sz w:val="32"/>
          <w:szCs w:val="32"/>
          <w:lang w:val="en-US" w:eastAsia="zh-CN"/>
        </w:rPr>
        <w:sectPr>
          <w:pgSz w:w="11906" w:h="16838"/>
          <w:pgMar w:top="720" w:right="720" w:bottom="720" w:left="720" w:header="851" w:footer="992" w:gutter="0"/>
          <w:pgNumType w:fmt="decimal"/>
          <w:cols w:space="720" w:num="1"/>
          <w:docGrid w:type="lines" w:linePitch="312" w:charSpace="0"/>
        </w:sectPr>
      </w:pPr>
    </w:p>
    <w:p w14:paraId="2B36B964">
      <w:pPr>
        <w:pStyle w:val="28"/>
        <w:keepNext/>
        <w:keepLines/>
        <w:pageBreakBefore w:val="0"/>
        <w:widowControl w:val="0"/>
        <w:kinsoku/>
        <w:wordWrap/>
        <w:overflowPunct/>
        <w:topLinePunct w:val="0"/>
        <w:autoSpaceDE/>
        <w:autoSpaceDN/>
        <w:bidi w:val="0"/>
        <w:adjustRightInd/>
        <w:snapToGrid/>
        <w:spacing w:line="240" w:lineRule="atLeast"/>
        <w:ind w:left="0" w:leftChars="0" w:firstLine="420" w:firstLineChars="0"/>
        <w:textAlignment w:val="auto"/>
        <w:rPr>
          <w:rFonts w:hint="eastAsia"/>
          <w:sz w:val="24"/>
          <w:szCs w:val="24"/>
          <w:lang w:val="en-US" w:eastAsia="zh-CN"/>
        </w:rPr>
      </w:pPr>
      <w:bookmarkStart w:id="10" w:name="_Ref17633"/>
      <w:r>
        <w:rPr>
          <w:rFonts w:hint="eastAsia"/>
          <w:sz w:val="24"/>
          <w:szCs w:val="24"/>
          <w:lang w:val="en-US" w:eastAsia="zh-CN"/>
        </w:rPr>
        <w:t>廉洁诚信协议</w:t>
      </w:r>
      <w:bookmarkEnd w:id="10"/>
      <w:r>
        <w:rPr>
          <w:rFonts w:hint="eastAsia"/>
          <w:sz w:val="24"/>
          <w:szCs w:val="24"/>
          <w:lang w:val="en-US" w:eastAsia="zh-CN"/>
        </w:rPr>
        <w:t>（壹式叁份，正反单张打印）</w:t>
      </w:r>
    </w:p>
    <w:p w14:paraId="78363ECE">
      <w:pPr>
        <w:spacing w:after="0" w:line="240" w:lineRule="auto"/>
        <w:ind w:left="105" w:leftChars="50" w:right="105" w:rightChars="50"/>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甲方：</w:t>
      </w:r>
      <w:r>
        <w:rPr>
          <w:rFonts w:hint="eastAsia" w:ascii="宋体" w:hAnsi="宋体" w:eastAsia="宋体" w:cs="宋体"/>
          <w:kern w:val="0"/>
          <w:sz w:val="20"/>
          <w:szCs w:val="20"/>
          <w:u w:val="single"/>
          <w:lang w:eastAsia="zh-CN"/>
        </w:rPr>
        <w:t>山东钢铁集团日照有限公司</w:t>
      </w:r>
    </w:p>
    <w:p w14:paraId="54146783">
      <w:pPr>
        <w:spacing w:after="0" w:line="240" w:lineRule="auto"/>
        <w:ind w:left="105" w:leftChars="50" w:right="105" w:rightChars="50"/>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eastAsia="zh-CN"/>
        </w:rPr>
        <w:t>乙方：</w:t>
      </w:r>
      <w:r>
        <w:rPr>
          <w:rFonts w:hint="eastAsia" w:ascii="宋体" w:hAnsi="宋体" w:cs="宋体"/>
          <w:kern w:val="0"/>
          <w:sz w:val="20"/>
          <w:szCs w:val="20"/>
          <w:lang w:val="en-US" w:eastAsia="zh-CN"/>
        </w:rPr>
        <w:t>________________________</w:t>
      </w:r>
    </w:p>
    <w:p w14:paraId="33F9EA1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为了营造廉洁诚信的优良环境，有效防范不正当竞争与商业贿赂，保障甲乙双方合法权益，促进双方在公平、公正、透明且高效的市场竞争中实现互利共赢，依据相关法律法规和廉政建设要求，甲乙双方经友好协商，一致同意在合作期限内签署并严格遵守本协议书。</w:t>
      </w:r>
    </w:p>
    <w:p w14:paraId="15975B7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第一条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在合作进程中，双方必须严格遵循国家法律法规及通行的商业伦理标准，秉持高尚的职业操守，推动正当的商业交流与合作，坚决抵制一切不廉洁与不诚信的行为。本协议所指的“不廉洁与不诚信行为”涵盖任何为谋取商业机遇、竞争优势或其他不当利益而违背法律、党纪及公序良俗的行为，具体包括但不限于：</w:t>
      </w:r>
    </w:p>
    <w:p w14:paraId="6A9D9509">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（一）商业贿赂：</w:t>
      </w:r>
      <w:r>
        <w:rPr>
          <w:rFonts w:hint="eastAsia" w:ascii="宋体" w:hAnsi="宋体" w:eastAsia="宋体" w:cs="宋体"/>
          <w:kern w:val="0"/>
          <w:sz w:val="20"/>
          <w:szCs w:val="20"/>
          <w:lang w:eastAsia="zh-CN"/>
        </w:rPr>
        <w:t>为促成交易或获取商业利益，直接或间接向相关人员提供财物或其他形式的好处。</w:t>
      </w:r>
    </w:p>
    <w:p w14:paraId="3A6B772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（二）制假售假：</w:t>
      </w:r>
      <w:r>
        <w:rPr>
          <w:rFonts w:hint="eastAsia" w:ascii="宋体" w:hAnsi="宋体" w:eastAsia="宋体" w:cs="宋体"/>
          <w:kern w:val="0"/>
          <w:sz w:val="20"/>
          <w:szCs w:val="20"/>
          <w:lang w:eastAsia="zh-CN"/>
        </w:rPr>
        <w:t>生产或销售假冒伪劣产品，冒充正品、仿冒知名品牌，以及进行误导性宣传。</w:t>
      </w:r>
    </w:p>
    <w:p w14:paraId="47C7CB5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（三）欺诈行为：</w:t>
      </w:r>
      <w:r>
        <w:rPr>
          <w:rFonts w:hint="eastAsia" w:ascii="宋体" w:hAnsi="宋体" w:eastAsia="宋体" w:cs="宋体"/>
          <w:kern w:val="0"/>
          <w:sz w:val="20"/>
          <w:szCs w:val="20"/>
          <w:lang w:eastAsia="zh-CN"/>
        </w:rPr>
        <w:t>利用虚假信息、不实陈述或承诺，误导合作伙伴或消费者，以获取非法利益，损害商业信任。</w:t>
      </w:r>
    </w:p>
    <w:p w14:paraId="19232724">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（四）合同违约：</w:t>
      </w:r>
      <w:r>
        <w:rPr>
          <w:rFonts w:hint="eastAsia" w:ascii="宋体" w:hAnsi="宋体" w:eastAsia="宋体" w:cs="宋体"/>
          <w:kern w:val="0"/>
          <w:sz w:val="20"/>
          <w:szCs w:val="20"/>
          <w:lang w:eastAsia="zh-CN"/>
        </w:rPr>
        <w:t>在合同签订后，恶意不履行或不完全履行合同约定义务，或无故拒绝执行合同条款。</w:t>
      </w:r>
    </w:p>
    <w:p w14:paraId="30D846B6">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（五）不正当竞争：</w:t>
      </w:r>
      <w:r>
        <w:rPr>
          <w:rFonts w:hint="eastAsia" w:ascii="宋体" w:hAnsi="宋体" w:eastAsia="宋体" w:cs="宋体"/>
          <w:kern w:val="0"/>
          <w:sz w:val="20"/>
          <w:szCs w:val="20"/>
          <w:lang w:eastAsia="zh-CN"/>
        </w:rPr>
        <w:t>在招投标过程中采取陪标、串标等不正当手段，提供虚假资料，违背承诺，以获取不正当的商业机会。</w:t>
      </w:r>
    </w:p>
    <w:p w14:paraId="198C8791">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（六）其他违法违规行为：</w:t>
      </w:r>
      <w:r>
        <w:rPr>
          <w:rFonts w:hint="eastAsia" w:ascii="宋体" w:hAnsi="宋体" w:eastAsia="宋体" w:cs="宋体"/>
          <w:kern w:val="0"/>
          <w:sz w:val="20"/>
          <w:szCs w:val="20"/>
          <w:lang w:eastAsia="zh-CN"/>
        </w:rPr>
        <w:t>任何违反国家法律法规、党纪政纪及其他相关规定的行为。</w:t>
      </w:r>
    </w:p>
    <w:p w14:paraId="711DAC3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第二条</w:t>
      </w:r>
      <w:r>
        <w:rPr>
          <w:rFonts w:hint="eastAsia" w:ascii="宋体" w:hAnsi="宋体" w:eastAsia="宋体" w:cs="宋体"/>
          <w:kern w:val="0"/>
          <w:sz w:val="20"/>
          <w:szCs w:val="20"/>
          <w:lang w:eastAsia="zh-CN"/>
        </w:rPr>
        <w:t>甲乙双方及其工作人员在合作期间，必须严格遵守以下廉洁与诚信行为规范：</w:t>
      </w:r>
    </w:p>
    <w:p w14:paraId="1A64581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（一）廉洁行为准则</w:t>
      </w:r>
    </w:p>
    <w:p w14:paraId="1694B830">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1.任何一方及其工作人员（包括通过第三方）不得向对方的客户、员工及其家属等利害关系人提供或接受任何形式的物质性或非物质性不正当利益。</w:t>
      </w:r>
    </w:p>
    <w:p w14:paraId="626ABBA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物质性利益包括但不限于回扣、贿赂、私下佣金、借款、实物、现金及其等价物（如购物卡、提货券、有价证券等）、支票、汇票、承兑、财产性权益、旅游、宴请、免费消费等。</w:t>
      </w:r>
    </w:p>
    <w:p w14:paraId="33AD50E1">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非物质性利益涵盖难以用金钱衡量的精神利益及其他不正当好处，如解决住房、迁移户口、工作调动、职务提拔、安排出国留学、享受免费服务等，以及授予荣誉、名誉、称号、资格、地位、特权等。</w:t>
      </w:r>
    </w:p>
    <w:p w14:paraId="1B049A76">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2.具体禁止行为</w:t>
      </w:r>
    </w:p>
    <w:p w14:paraId="261AAE6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严禁向对方单位或个人及其家属、特定关系人实施或索取任何形式的商业贿赂。包括但不限于赠送或索要现金、回扣、红包、佣金、好处费、感谢费、有价证券（包括但不限于股票、债券）、股权、金融性产品（如理财产品、基金等）、贵金属（如黄金、白银等）等财物，以及烟酒、土特产、钟表首饰、玉石字画等任何形式的实物。同时，严禁假借赞助费、赠股、报销费用等名义给付对方单位或人员及其家属、特定关系人财物。（2）不得以干股分红、合作投资、高息揽储、资金出借、委托理财、无息借款、挂名领薪、业务承揽、业务合作等任何方式向对方工作人员及其家属、特定关系人进行利益输送或提供特殊便利。此外，不得违规向对方工作人员及其家属、特定关系人出借资金、委托理财等。（3）不得以显著偏离市场价格的方式购买或出售对方工作人员及其家属、特定关系人的车辆、房产、服务或其他任何物品。（4）不得由对方或关联单位承担任何应由本方或个人支付的费用。（5）不得组织或提供任何名义的旅游、宴请、娱乐等活动给对方单位或人员及其家属、特定关系人。（6）严禁徇私舞弊、滥用职权，违反程序进行招投标等活动；不得在招投标过程中提供虚假信息、伪造资质资格，不得联合其他公司进行围标、串标，或采取任何不正当手段损害对方权益。（7）不得以毁灭、伪造证据或串通等方式，帮助对方工作人员掩盖任何违纪违法事实。在双方合作过程中，若一方单位的人员或利害相关人实施上述任何行为，该行为将被视为该单位的行为，并由该单位承担相应的法律责任。若法律规定个人亦需承担相关责任，则依据法律规定进行处理。</w:t>
      </w:r>
    </w:p>
    <w:p w14:paraId="0A4A0617">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（二）不诚信行为</w:t>
      </w:r>
    </w:p>
    <w:p w14:paraId="54D862F7">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1.严禁在合同履行中弄虚作假，如供应伪劣产品、掺杂使假、以次充好、擅自改变规格型号、伪造合格证书等，确保产品质量。</w:t>
      </w:r>
    </w:p>
    <w:p w14:paraId="0C5989E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2.禁止违法转包、分包，以及不均衡供货、不及时供货、虚假计量、虚假签证等行为，维护合同履行的严肃性。</w:t>
      </w:r>
    </w:p>
    <w:p w14:paraId="620D2E06">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3.不得通过盗窃、合同诈骗、价格欺诈、超领冒领、不正当竞争等手段损害对方权益，保障商业环境的公平性。</w:t>
      </w:r>
    </w:p>
    <w:p w14:paraId="2EAB8FB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4.禁止以谋取非正当利益为目的，与对方工作人员进行私下商谈或达成利益默契，确保业务合作的公开透明。</w:t>
      </w:r>
    </w:p>
    <w:p w14:paraId="06B5632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5.严禁利用非法手段打探、窃取或泄露对方商业秘密，尊重并保护对方的商业利益。</w:t>
      </w:r>
    </w:p>
    <w:p w14:paraId="77A8C84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6.不得利用社会关系违规插手和干预对方的正常经营活动，维护商业竞争的公平性。</w:t>
      </w:r>
    </w:p>
    <w:p w14:paraId="2118E740">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7.乙方的股东、监事、经理、高级管理人员、合作项目负责人及项目成员系甲方股东、员工、客户或其利害相关人员的，乙方应在合作前以书面方式如实、全面告知甲方。不得存在干扰正常交易的行为。</w:t>
      </w:r>
    </w:p>
    <w:p w14:paraId="536C3B6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8.各方应保证及督促其董事、监事、高级管理人员及员工在合作过程中严格依法依规履行职责、遵守职业纪律和职业道德，遵纪守法、尽职尽责、诚实守信。</w:t>
      </w:r>
    </w:p>
    <w:p w14:paraId="6C22C359">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第三条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双方应秉持诚信合作的原则，积极协助和配合对方的监督检查工作。若任何一方发现对方及其工作人员存在第一条、第二条所明确禁止的行为时，应立即在事发后通知对方，并主动向对方的监督检查部门进行投诉或举报，举报人应提供尽可能详细的信息和证据。为便于及时有效处理，甲方特提供以下举报渠道：</w:t>
      </w:r>
    </w:p>
    <w:p w14:paraId="5444090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eastAsia="zh-CN"/>
        </w:rPr>
        <w:drawing>
          <wp:anchor distT="0" distB="0" distL="114300" distR="114300" simplePos="0" relativeHeight="251662336" behindDoc="0" locked="0" layoutInCell="1" allowOverlap="1">
            <wp:simplePos x="0" y="0"/>
            <wp:positionH relativeFrom="column">
              <wp:posOffset>5779770</wp:posOffset>
            </wp:positionH>
            <wp:positionV relativeFrom="paragraph">
              <wp:posOffset>-132080</wp:posOffset>
            </wp:positionV>
            <wp:extent cx="656590" cy="656590"/>
            <wp:effectExtent l="0" t="0" r="381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56590" cy="656590"/>
                    </a:xfrm>
                    <a:prstGeom prst="rect">
                      <a:avLst/>
                    </a:prstGeom>
                    <a:noFill/>
                    <a:ln>
                      <a:noFill/>
                    </a:ln>
                  </pic:spPr>
                </pic:pic>
              </a:graphicData>
            </a:graphic>
          </wp:anchor>
        </w:drawing>
      </w:r>
      <w:r>
        <w:rPr>
          <w:rFonts w:hint="eastAsia" w:ascii="宋体" w:hAnsi="宋体" w:eastAsia="宋体" w:cs="宋体"/>
          <w:kern w:val="0"/>
          <w:sz w:val="20"/>
          <w:szCs w:val="20"/>
          <w:lang w:eastAsia="zh-CN"/>
        </w:rPr>
        <w:t>举报电话：0633-7920333</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lang w:eastAsia="zh-CN"/>
        </w:rPr>
        <w:t>电子邮箱：sgrzjw7920333@sdsteelrz.com</w:t>
      </w:r>
      <w:r>
        <w:rPr>
          <w:rFonts w:hint="eastAsia" w:ascii="宋体" w:hAnsi="宋体" w:cs="宋体"/>
          <w:kern w:val="0"/>
          <w:sz w:val="20"/>
          <w:szCs w:val="20"/>
          <w:lang w:val="en-US" w:eastAsia="zh-CN"/>
        </w:rPr>
        <w:t>;</w:t>
      </w:r>
    </w:p>
    <w:p w14:paraId="2DBB0E8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来信地址：山东省日照市东港区临钢路1号山东钢铁集团日照有限公司纪委，邮编：276800。</w:t>
      </w:r>
    </w:p>
    <w:p w14:paraId="77841F5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山钢股份纪委在线举报平台：使用手机扫描下方二维码，进入页面填写信息进行举报。</w:t>
      </w:r>
    </w:p>
    <w:p w14:paraId="254B0620">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对于乙方而言，无论其是主动还是被动涉及第一条、第二条所述的行为，只要乙方或乙方员工能够主动向甲方提供有效且有价值的信息，甲方将秉持公正、宽容的态度，考虑与乙方继续合作，在一定条件下减免乙方的违约责任，并依规对提供有效信息的相关人员给予相应的奖励。对于此类情形的具体处理，甲方拥有完全的判断权和自主权，乙方对此表示认可，并自愿接受甲方的处理结果。</w:t>
      </w:r>
    </w:p>
    <w:p w14:paraId="33167C84">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为确保举报人的安全和积极性，双方监督检查部门应对举报人的身份、举报内容及调查过程严格保密。对于因举报而遭受打击报复的举报人，监督检查部门应提供必要的支持和保护，并协助其维护合法权益。</w:t>
      </w:r>
    </w:p>
    <w:p w14:paraId="00B3B2A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第四条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双方的监督检查部门或其授权的人员对本廉洁诚信协议的执行情况进行监督。</w:t>
      </w:r>
    </w:p>
    <w:p w14:paraId="08D9EE04">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第五条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如甲方工作人员违反本协议第二条之规定，甲方将严格依据企业内部相关规章制度对涉事人员进行严肃处理。若其行为构成违纪，将依照相关纪律规定给予党纪处分、政务处分或组织处理。若涉嫌违法犯罪，则依法移交司法机关进行查处。</w:t>
      </w:r>
    </w:p>
    <w:p w14:paraId="2B8CC32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第六条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乙方及乙方工作人员在双方经济业务往来存续期间，应自觉遵守本协议约定，对于违反本协议约定行为的，乙方应承担相应的违约责任，甲方则有权采取以下一项或多项措施：</w:t>
      </w:r>
    </w:p>
    <w:p w14:paraId="5561C98F">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（一）暂停付款</w:t>
      </w:r>
      <w:r>
        <w:rPr>
          <w:rFonts w:hint="eastAsia" w:ascii="宋体" w:hAnsi="宋体" w:eastAsia="宋体" w:cs="宋体"/>
          <w:kern w:val="0"/>
          <w:sz w:val="20"/>
          <w:szCs w:val="20"/>
          <w:lang w:eastAsia="zh-CN"/>
        </w:rPr>
        <w:t>在乙方、乙方工作人员或利害相关人涉嫌侵害甲方利益的调查期间，甲方有权暂停向乙方支付款项。乙方不得以此为由中止合同履行，否则因乙方违约行为给甲方生产经营造成的任何损失，乙方均需承担全额赔偿责任。</w:t>
      </w:r>
    </w:p>
    <w:p w14:paraId="1391EBB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（二）违约金与赔偿</w:t>
      </w:r>
      <w:r>
        <w:rPr>
          <w:rFonts w:hint="eastAsia" w:ascii="宋体" w:hAnsi="宋体" w:eastAsia="宋体" w:cs="宋体"/>
          <w:kern w:val="0"/>
          <w:sz w:val="20"/>
          <w:szCs w:val="20"/>
          <w:lang w:eastAsia="zh-CN"/>
        </w:rPr>
        <w:t>若乙方因不诚信、违规违纪或违法犯罪等行为违反了第一条、第二条约定，需根据本协议约定向甲方支付违约金。本协议中所约定的违约金具有惩罚性质，乙方对此表示完全理解并接受，在任何情况下，乙方均承诺将严格按照本条款的约定全额支付违约金。违约金扣除原则如下：</w:t>
      </w:r>
    </w:p>
    <w:p w14:paraId="600DA23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若乙方在所涉及的违约合同中已向甲方支付履约保证金的，甲方有权优先从保证金中扣除违约金；保证金不足部分，甲方有权从应付款中继续扣除。若乙方未支付履约保证金，甲方有权从应付款中直接扣除全部违约金。</w:t>
      </w:r>
    </w:p>
    <w:p w14:paraId="061477F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若从履约保证金和甲方应向乙方支付的款项中扣除的违约金总额不足以弥补甲方所受损失的，乙方还需另行赔偿甲方因此遭受的全部经济损失及追偿损失所产生的所有费用。甲方保留通过诉讼等法律手段追偿损失的权利。</w:t>
      </w:r>
    </w:p>
    <w:p w14:paraId="23284F1E">
      <w:pPr>
        <w:keepNext w:val="0"/>
        <w:keepLines w:val="0"/>
        <w:pageBreakBefore w:val="0"/>
        <w:widowControl w:val="0"/>
        <w:kinsoku/>
        <w:wordWrap/>
        <w:overflowPunct/>
        <w:topLinePunct w:val="0"/>
        <w:autoSpaceDE/>
        <w:autoSpaceDN/>
        <w:bidi w:val="0"/>
        <w:adjustRightInd/>
        <w:spacing w:after="0" w:line="280" w:lineRule="exact"/>
        <w:ind w:left="590" w:right="105" w:rightChars="5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1.违约金计算基础</w:t>
      </w:r>
    </w:p>
    <w:p w14:paraId="2D3FE28A">
      <w:pPr>
        <w:keepNext w:val="0"/>
        <w:keepLines w:val="0"/>
        <w:pageBreakBefore w:val="0"/>
        <w:widowControl w:val="0"/>
        <w:kinsoku/>
        <w:wordWrap/>
        <w:overflowPunct/>
        <w:topLinePunct w:val="0"/>
        <w:autoSpaceDE/>
        <w:autoSpaceDN/>
        <w:bidi w:val="0"/>
        <w:adjustRightInd/>
        <w:spacing w:after="0" w:line="280" w:lineRule="exact"/>
        <w:ind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以甲方与乙方之间签订并履行的所涉违规、违纪、违法犯罪等行为业务合同金额总额为计算基础。</w:t>
      </w:r>
    </w:p>
    <w:p w14:paraId="06E29B0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2.违约金比例</w:t>
      </w:r>
    </w:p>
    <w:p w14:paraId="3E614B2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（1）经查证属实，乙方行为尚未构成犯罪或未造成甲方工作人员被追究刑事责任的，乙方按照下述方式累计计算并支付违约金:</w:t>
      </w:r>
    </w:p>
    <w:p w14:paraId="358D168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对于合同金额，100万元以下（含100万元）的部分，违约金为10万元（违约金总额高于合同额，以合同额为限）。</w:t>
      </w:r>
    </w:p>
    <w:p w14:paraId="00A6CA9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100万元以上的按照下述比例分段累计计算违约金，具体比例如下。</w:t>
      </w:r>
    </w:p>
    <w:tbl>
      <w:tblPr>
        <w:tblStyle w:val="16"/>
        <w:tblW w:w="4500" w:type="pct"/>
        <w:jc w:val="center"/>
        <w:tblLayout w:type="autofit"/>
        <w:tblCellMar>
          <w:top w:w="0" w:type="dxa"/>
          <w:left w:w="0" w:type="dxa"/>
          <w:bottom w:w="0" w:type="dxa"/>
          <w:right w:w="0" w:type="dxa"/>
        </w:tblCellMar>
      </w:tblPr>
      <w:tblGrid>
        <w:gridCol w:w="6716"/>
        <w:gridCol w:w="3495"/>
      </w:tblGrid>
      <w:tr w14:paraId="4ED74F3E">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2232EE3F">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合</w:t>
            </w:r>
            <w:r>
              <w:rPr>
                <w:rFonts w:hint="eastAsia" w:ascii="宋体" w:hAnsi="宋体" w:eastAsia="宋体" w:cs="宋体"/>
                <w:spacing w:val="-3"/>
                <w:kern w:val="0"/>
                <w:sz w:val="20"/>
                <w:szCs w:val="20"/>
                <w:lang w:eastAsia="zh-CN"/>
              </w:rPr>
              <w:t>同</w:t>
            </w:r>
            <w:r>
              <w:rPr>
                <w:rFonts w:hint="eastAsia" w:ascii="宋体" w:hAnsi="宋体" w:eastAsia="宋体" w:cs="宋体"/>
                <w:kern w:val="0"/>
                <w:sz w:val="20"/>
                <w:szCs w:val="20"/>
                <w:lang w:eastAsia="zh-CN"/>
              </w:rPr>
              <w:t>金额</w:t>
            </w:r>
            <w:r>
              <w:rPr>
                <w:rFonts w:hint="eastAsia" w:ascii="宋体" w:hAnsi="宋体" w:eastAsia="宋体" w:cs="宋体"/>
                <w:spacing w:val="-3"/>
                <w:kern w:val="0"/>
                <w:sz w:val="20"/>
                <w:szCs w:val="20"/>
                <w:lang w:eastAsia="zh-CN"/>
              </w:rPr>
              <w:t>范</w:t>
            </w:r>
            <w:r>
              <w:rPr>
                <w:rFonts w:hint="eastAsia" w:ascii="宋体" w:hAnsi="宋体" w:eastAsia="宋体" w:cs="宋体"/>
                <w:kern w:val="0"/>
                <w:sz w:val="20"/>
                <w:szCs w:val="20"/>
                <w:lang w:eastAsia="zh-CN"/>
              </w:rPr>
              <w:t>围（</w:t>
            </w:r>
            <w:r>
              <w:rPr>
                <w:rFonts w:hint="eastAsia" w:ascii="宋体" w:hAnsi="宋体" w:eastAsia="宋体" w:cs="宋体"/>
                <w:spacing w:val="-3"/>
                <w:kern w:val="0"/>
                <w:sz w:val="20"/>
                <w:szCs w:val="20"/>
                <w:lang w:eastAsia="zh-CN"/>
              </w:rPr>
              <w:t>人</w:t>
            </w:r>
            <w:r>
              <w:rPr>
                <w:rFonts w:hint="eastAsia" w:ascii="宋体" w:hAnsi="宋体" w:eastAsia="宋体" w:cs="宋体"/>
                <w:kern w:val="0"/>
                <w:sz w:val="20"/>
                <w:szCs w:val="20"/>
                <w:lang w:eastAsia="zh-CN"/>
              </w:rPr>
              <w:t>民币）</w:t>
            </w:r>
          </w:p>
        </w:tc>
        <w:tc>
          <w:tcPr>
            <w:tcW w:w="1711" w:type="pct"/>
            <w:tcBorders>
              <w:top w:val="single" w:color="000000" w:sz="2" w:space="0"/>
              <w:left w:val="single" w:color="000000" w:sz="2" w:space="0"/>
              <w:bottom w:val="single" w:color="000000" w:sz="2" w:space="0"/>
              <w:right w:val="single" w:color="000000" w:sz="2" w:space="0"/>
            </w:tcBorders>
            <w:vAlign w:val="center"/>
          </w:tcPr>
          <w:p w14:paraId="4369D9DA">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违</w:t>
            </w:r>
            <w:r>
              <w:rPr>
                <w:rFonts w:hint="eastAsia" w:ascii="宋体" w:hAnsi="宋体" w:eastAsia="宋体" w:cs="宋体"/>
                <w:spacing w:val="-3"/>
                <w:kern w:val="0"/>
                <w:sz w:val="20"/>
                <w:szCs w:val="20"/>
                <w:lang w:eastAsia="zh-CN"/>
              </w:rPr>
              <w:t>约</w:t>
            </w:r>
            <w:r>
              <w:rPr>
                <w:rFonts w:hint="eastAsia" w:ascii="宋体" w:hAnsi="宋体" w:eastAsia="宋体" w:cs="宋体"/>
                <w:kern w:val="0"/>
                <w:sz w:val="20"/>
                <w:szCs w:val="20"/>
                <w:lang w:eastAsia="zh-CN"/>
              </w:rPr>
              <w:t>金比</w:t>
            </w:r>
            <w:r>
              <w:rPr>
                <w:rFonts w:hint="eastAsia" w:ascii="宋体" w:hAnsi="宋体" w:eastAsia="宋体" w:cs="宋体"/>
                <w:spacing w:val="-3"/>
                <w:kern w:val="0"/>
                <w:sz w:val="20"/>
                <w:szCs w:val="20"/>
                <w:lang w:eastAsia="zh-CN"/>
              </w:rPr>
              <w:t>例</w:t>
            </w:r>
            <w:r>
              <w:rPr>
                <w:rFonts w:hint="eastAsia" w:ascii="宋体" w:hAnsi="宋体" w:eastAsia="宋体" w:cs="宋体"/>
                <w:kern w:val="0"/>
                <w:sz w:val="20"/>
                <w:szCs w:val="20"/>
                <w:lang w:eastAsia="zh-CN"/>
              </w:rPr>
              <w:t>（合</w:t>
            </w:r>
            <w:r>
              <w:rPr>
                <w:rFonts w:hint="eastAsia" w:ascii="宋体" w:hAnsi="宋体" w:eastAsia="宋体" w:cs="宋体"/>
                <w:spacing w:val="-3"/>
                <w:kern w:val="0"/>
                <w:sz w:val="20"/>
                <w:szCs w:val="20"/>
                <w:lang w:eastAsia="zh-CN"/>
              </w:rPr>
              <w:t>同</w:t>
            </w:r>
            <w:r>
              <w:rPr>
                <w:rFonts w:hint="eastAsia" w:ascii="宋体" w:hAnsi="宋体" w:eastAsia="宋体" w:cs="宋体"/>
                <w:kern w:val="0"/>
                <w:sz w:val="20"/>
                <w:szCs w:val="20"/>
                <w:lang w:eastAsia="zh-CN"/>
              </w:rPr>
              <w:t>金额</w:t>
            </w:r>
            <w:r>
              <w:rPr>
                <w:rFonts w:hint="eastAsia" w:ascii="宋体" w:hAnsi="宋体" w:eastAsia="宋体" w:cs="宋体"/>
                <w:spacing w:val="-3"/>
                <w:kern w:val="0"/>
                <w:sz w:val="20"/>
                <w:szCs w:val="20"/>
                <w:lang w:eastAsia="zh-CN"/>
              </w:rPr>
              <w:t>的</w:t>
            </w:r>
            <w:r>
              <w:rPr>
                <w:rFonts w:hint="eastAsia" w:ascii="宋体" w:hAnsi="宋体" w:eastAsia="宋体" w:cs="宋体"/>
                <w:w w:val="57"/>
                <w:kern w:val="0"/>
                <w:sz w:val="20"/>
                <w:szCs w:val="20"/>
                <w:lang w:eastAsia="zh-CN"/>
              </w:rPr>
              <w:t>%</w:t>
            </w:r>
            <w:r>
              <w:rPr>
                <w:rFonts w:hint="eastAsia" w:ascii="宋体" w:hAnsi="宋体" w:eastAsia="宋体" w:cs="宋体"/>
                <w:kern w:val="0"/>
                <w:sz w:val="20"/>
                <w:szCs w:val="20"/>
                <w:lang w:eastAsia="zh-CN"/>
              </w:rPr>
              <w:t>）</w:t>
            </w:r>
          </w:p>
        </w:tc>
      </w:tr>
      <w:tr w14:paraId="6536E893">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3507EF91">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万元以上至</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万元以下（含</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0C7E52B0">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5</w:t>
            </w:r>
          </w:p>
        </w:tc>
      </w:tr>
      <w:tr w14:paraId="0F030CE3">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068549EA">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万元以上至</w:t>
            </w: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万元以下（含</w:t>
            </w: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427148CF">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4</w:t>
            </w:r>
          </w:p>
        </w:tc>
      </w:tr>
      <w:tr w14:paraId="453A9E9D">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03121239">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万元以上至</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万元以下（含</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6751B932">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3</w:t>
            </w:r>
          </w:p>
        </w:tc>
      </w:tr>
      <w:tr w14:paraId="77CC60C6">
        <w:tblPrEx>
          <w:tblCellMar>
            <w:top w:w="0" w:type="dxa"/>
            <w:left w:w="0" w:type="dxa"/>
            <w:bottom w:w="0" w:type="dxa"/>
            <w:right w:w="0" w:type="dxa"/>
          </w:tblCellMar>
        </w:tblPrEx>
        <w:trPr>
          <w:trHeight w:val="267"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74E3C9A5">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kern w:val="0"/>
                <w:sz w:val="20"/>
                <w:szCs w:val="20"/>
                <w:lang w:eastAsia="en-US"/>
              </w:rPr>
              <w:t>超过</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61BBAC43">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2</w:t>
            </w:r>
          </w:p>
        </w:tc>
      </w:tr>
    </w:tbl>
    <w:p w14:paraId="66CA439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（2）若乙方行为构成犯罪或造成甲方工作人员被追究刑事责任的，在上述违约金比例基础上上调2个百分点。</w:t>
      </w:r>
    </w:p>
    <w:p w14:paraId="7890A5E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3）若乙方承认违约事实并积极配合甲方进行调查和处理，且按要求缴纳违约金，甲方将酌情在违约金计算或执行上给予适当减免。若乙方多次违反本协议约定或怠于承担违约责任，甲方有权将违约金承担比例提高1至3个百分点。</w:t>
      </w:r>
    </w:p>
    <w:p w14:paraId="77016E29">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（三）合同终止与资格取消</w:t>
      </w:r>
    </w:p>
    <w:p w14:paraId="0552062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若乙方违反本协议约定且经查证属实，甲方有权单方面部分或全部终止与乙方的合同，并取消乙方的投标或签约资格。对于情节严重者，甲方有权决定在未来3年内不与乙方及其关联方开展任何新业务合作，并有权将乙方及其关联方列入永久性禁入黑名单。</w:t>
      </w:r>
    </w:p>
    <w:p w14:paraId="36C2620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第七条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本协议作为双方业务合作的基础和准则，全面适用于双方在合作期间内所签订或即将签订的所有合同与协议，无论这些合同的具体内容、形式如何，也无论其签订时间的先后，本协议的效力均不受其他任何具体业务合同或协议终止、变更的影响而持续有效。</w:t>
      </w:r>
    </w:p>
    <w:p w14:paraId="20A4C4C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自本协议字签字盖章之日起生效，双方此前签订的所有廉洁性协议或条款均予废止，若双方在合作过程中签订的其他合同或协议与本协议在内容、解释或执行上存在任何冲突或不一致之处，均应以本协议的规定为准。</w:t>
      </w:r>
    </w:p>
    <w:p w14:paraId="6C1EAFD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如有任何争议，双方应首先通过友好协商解决；协商不成的，任何一方均有权将争议提交至济南市钢城区人民法院诉讼解决。</w:t>
      </w:r>
    </w:p>
    <w:p w14:paraId="3D933AA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第八条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本协议</w:t>
      </w:r>
      <w:r>
        <w:rPr>
          <w:rFonts w:hint="eastAsia" w:ascii="宋体" w:hAnsi="宋体" w:cs="宋体"/>
          <w:kern w:val="0"/>
          <w:sz w:val="20"/>
          <w:szCs w:val="20"/>
          <w:lang w:val="en-US" w:eastAsia="zh-CN"/>
        </w:rPr>
        <w:t>壹</w:t>
      </w:r>
      <w:r>
        <w:rPr>
          <w:rFonts w:hint="eastAsia" w:ascii="宋体" w:hAnsi="宋体" w:eastAsia="宋体" w:cs="宋体"/>
          <w:kern w:val="0"/>
          <w:sz w:val="20"/>
          <w:szCs w:val="20"/>
          <w:lang w:eastAsia="zh-CN"/>
        </w:rPr>
        <w:t>式</w:t>
      </w:r>
      <w:r>
        <w:rPr>
          <w:rFonts w:hint="eastAsia" w:ascii="宋体" w:hAnsi="宋体" w:cs="宋体"/>
          <w:kern w:val="0"/>
          <w:sz w:val="20"/>
          <w:szCs w:val="20"/>
          <w:lang w:val="en-US" w:eastAsia="zh-CN"/>
        </w:rPr>
        <w:t>叁</w:t>
      </w:r>
      <w:r>
        <w:rPr>
          <w:rFonts w:hint="eastAsia" w:ascii="宋体" w:hAnsi="宋体" w:eastAsia="宋体" w:cs="宋体"/>
          <w:kern w:val="0"/>
          <w:sz w:val="20"/>
          <w:szCs w:val="20"/>
          <w:lang w:eastAsia="zh-CN"/>
        </w:rPr>
        <w:t>份，甲方执</w:t>
      </w:r>
      <w:r>
        <w:rPr>
          <w:rFonts w:hint="eastAsia" w:ascii="宋体" w:hAnsi="宋体" w:cs="宋体"/>
          <w:kern w:val="0"/>
          <w:sz w:val="20"/>
          <w:szCs w:val="20"/>
          <w:lang w:val="en-US" w:eastAsia="zh-CN"/>
        </w:rPr>
        <w:t>贰</w:t>
      </w:r>
      <w:r>
        <w:rPr>
          <w:rFonts w:hint="eastAsia" w:ascii="宋体" w:hAnsi="宋体" w:eastAsia="宋体" w:cs="宋体"/>
          <w:kern w:val="0"/>
          <w:sz w:val="20"/>
          <w:szCs w:val="20"/>
          <w:lang w:eastAsia="zh-CN"/>
        </w:rPr>
        <w:t>份，乙方执</w:t>
      </w:r>
      <w:r>
        <w:rPr>
          <w:rFonts w:hint="eastAsia" w:ascii="宋体" w:hAnsi="宋体" w:cs="宋体"/>
          <w:kern w:val="0"/>
          <w:sz w:val="20"/>
          <w:szCs w:val="20"/>
          <w:lang w:val="en-US" w:eastAsia="zh-CN"/>
        </w:rPr>
        <w:t>壹</w:t>
      </w:r>
      <w:r>
        <w:rPr>
          <w:rFonts w:hint="eastAsia" w:ascii="宋体" w:hAnsi="宋体" w:eastAsia="宋体" w:cs="宋体"/>
          <w:kern w:val="0"/>
          <w:sz w:val="20"/>
          <w:szCs w:val="20"/>
          <w:lang w:eastAsia="zh-CN"/>
        </w:rPr>
        <w:t>份。</w:t>
      </w:r>
    </w:p>
    <w:tbl>
      <w:tblPr>
        <w:tblStyle w:val="17"/>
        <w:tblW w:w="44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0"/>
        <w:gridCol w:w="2612"/>
        <w:gridCol w:w="1196"/>
        <w:gridCol w:w="1442"/>
        <w:gridCol w:w="2445"/>
        <w:gridCol w:w="1313"/>
      </w:tblGrid>
      <w:tr w14:paraId="3E9A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390" w:type="dxa"/>
            <w:tcBorders>
              <w:bottom w:val="nil"/>
              <w:right w:val="nil"/>
            </w:tcBorders>
            <w:vAlign w:val="center"/>
          </w:tcPr>
          <w:p w14:paraId="57C236A9">
            <w:pPr>
              <w:spacing w:after="0" w:line="240" w:lineRule="auto"/>
              <w:ind w:right="105" w:rightChars="50"/>
              <w:jc w:val="left"/>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lang w:eastAsia="zh-CN"/>
              </w:rPr>
              <w:t>甲方代表：</w:t>
            </w:r>
          </w:p>
        </w:tc>
        <w:tc>
          <w:tcPr>
            <w:tcW w:w="2613" w:type="dxa"/>
            <w:tcBorders>
              <w:left w:val="nil"/>
              <w:bottom w:val="single" w:color="000000" w:sz="4" w:space="0"/>
              <w:right w:val="nil"/>
            </w:tcBorders>
            <w:vAlign w:val="center"/>
          </w:tcPr>
          <w:p w14:paraId="222C8CD8">
            <w:pPr>
              <w:spacing w:after="0" w:line="240" w:lineRule="auto"/>
              <w:ind w:right="105" w:rightChars="50"/>
              <w:jc w:val="left"/>
              <w:rPr>
                <w:rFonts w:hint="eastAsia" w:ascii="宋体" w:hAnsi="宋体" w:eastAsia="宋体" w:cs="宋体"/>
                <w:kern w:val="0"/>
                <w:sz w:val="20"/>
                <w:szCs w:val="20"/>
                <w:lang w:eastAsia="zh-CN"/>
              </w:rPr>
            </w:pPr>
          </w:p>
        </w:tc>
        <w:tc>
          <w:tcPr>
            <w:tcW w:w="1196" w:type="dxa"/>
            <w:tcBorders>
              <w:left w:val="nil"/>
              <w:bottom w:val="nil"/>
              <w:right w:val="double" w:color="auto" w:sz="4" w:space="0"/>
            </w:tcBorders>
            <w:vAlign w:val="center"/>
          </w:tcPr>
          <w:p w14:paraId="5909C1A3">
            <w:pPr>
              <w:spacing w:after="0" w:line="240" w:lineRule="auto"/>
              <w:ind w:right="105" w:rightChars="50"/>
              <w:jc w:val="left"/>
              <w:rPr>
                <w:rFonts w:hint="eastAsia" w:ascii="宋体" w:hAnsi="宋体" w:eastAsia="宋体" w:cs="宋体"/>
                <w:kern w:val="0"/>
                <w:sz w:val="20"/>
                <w:szCs w:val="20"/>
                <w:lang w:eastAsia="zh-CN"/>
              </w:rPr>
            </w:pPr>
          </w:p>
        </w:tc>
        <w:tc>
          <w:tcPr>
            <w:tcW w:w="1442" w:type="dxa"/>
            <w:tcBorders>
              <w:left w:val="double" w:color="auto" w:sz="4" w:space="0"/>
              <w:bottom w:val="nil"/>
              <w:right w:val="nil"/>
            </w:tcBorders>
            <w:vAlign w:val="center"/>
          </w:tcPr>
          <w:p w14:paraId="748EC22B">
            <w:pPr>
              <w:spacing w:after="0" w:line="240" w:lineRule="auto"/>
              <w:ind w:right="105" w:rightChars="50"/>
              <w:jc w:val="left"/>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lang w:eastAsia="zh-CN"/>
              </w:rPr>
              <w:t>乙方代表：</w:t>
            </w:r>
          </w:p>
        </w:tc>
        <w:tc>
          <w:tcPr>
            <w:tcW w:w="2446" w:type="dxa"/>
            <w:tcBorders>
              <w:left w:val="nil"/>
              <w:bottom w:val="single" w:color="000000" w:sz="4" w:space="0"/>
              <w:right w:val="nil"/>
            </w:tcBorders>
            <w:vAlign w:val="center"/>
          </w:tcPr>
          <w:p w14:paraId="58A99C37">
            <w:pPr>
              <w:spacing w:after="0" w:line="240" w:lineRule="auto"/>
              <w:ind w:right="105" w:rightChars="50"/>
              <w:jc w:val="left"/>
              <w:rPr>
                <w:rFonts w:hint="eastAsia" w:ascii="宋体" w:hAnsi="宋体" w:eastAsia="宋体" w:cs="宋体"/>
                <w:kern w:val="0"/>
                <w:sz w:val="20"/>
                <w:szCs w:val="20"/>
                <w:lang w:eastAsia="zh-CN"/>
              </w:rPr>
            </w:pPr>
          </w:p>
        </w:tc>
        <w:tc>
          <w:tcPr>
            <w:tcW w:w="1313" w:type="dxa"/>
            <w:tcBorders>
              <w:left w:val="nil"/>
              <w:bottom w:val="nil"/>
            </w:tcBorders>
            <w:vAlign w:val="center"/>
          </w:tcPr>
          <w:p w14:paraId="6FFE78A5">
            <w:pPr>
              <w:spacing w:after="0" w:line="240" w:lineRule="auto"/>
              <w:ind w:right="105" w:rightChars="50"/>
              <w:jc w:val="left"/>
              <w:rPr>
                <w:rFonts w:hint="eastAsia" w:ascii="宋体" w:hAnsi="宋体" w:eastAsia="宋体" w:cs="宋体"/>
                <w:kern w:val="0"/>
                <w:sz w:val="24"/>
                <w:szCs w:val="24"/>
                <w:lang w:eastAsia="zh-CN"/>
              </w:rPr>
            </w:pPr>
          </w:p>
        </w:tc>
      </w:tr>
      <w:tr w14:paraId="6CD7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jc w:val="center"/>
        </w:trPr>
        <w:tc>
          <w:tcPr>
            <w:tcW w:w="4003" w:type="dxa"/>
            <w:gridSpan w:val="2"/>
            <w:tcBorders>
              <w:top w:val="nil"/>
              <w:right w:val="nil"/>
            </w:tcBorders>
          </w:tcPr>
          <w:p w14:paraId="29FDF98B">
            <w:pPr>
              <w:spacing w:after="0" w:line="240" w:lineRule="auto"/>
              <w:ind w:right="105" w:rightChars="50"/>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lang w:eastAsia="zh-CN"/>
              </w:rPr>
              <w:t>甲方单位盖章：</w:t>
            </w:r>
          </w:p>
        </w:tc>
        <w:tc>
          <w:tcPr>
            <w:tcW w:w="1196" w:type="dxa"/>
            <w:tcBorders>
              <w:top w:val="nil"/>
              <w:left w:val="nil"/>
              <w:right w:val="double" w:color="auto" w:sz="4" w:space="0"/>
            </w:tcBorders>
          </w:tcPr>
          <w:p w14:paraId="72900890">
            <w:pPr>
              <w:spacing w:after="0" w:line="240" w:lineRule="auto"/>
              <w:ind w:right="105" w:rightChars="50"/>
              <w:jc w:val="both"/>
              <w:rPr>
                <w:rFonts w:hint="eastAsia" w:ascii="宋体" w:hAnsi="宋体" w:eastAsia="宋体" w:cs="宋体"/>
                <w:kern w:val="0"/>
                <w:sz w:val="20"/>
                <w:szCs w:val="20"/>
                <w:lang w:eastAsia="zh-CN"/>
              </w:rPr>
            </w:pPr>
          </w:p>
        </w:tc>
        <w:tc>
          <w:tcPr>
            <w:tcW w:w="3888" w:type="dxa"/>
            <w:gridSpan w:val="2"/>
            <w:tcBorders>
              <w:top w:val="nil"/>
              <w:left w:val="double" w:color="auto" w:sz="4" w:space="0"/>
              <w:right w:val="nil"/>
            </w:tcBorders>
          </w:tcPr>
          <w:p w14:paraId="5CE4176C">
            <w:pPr>
              <w:spacing w:after="0" w:line="240" w:lineRule="auto"/>
              <w:ind w:right="105" w:rightChars="50"/>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lang w:eastAsia="zh-CN"/>
              </w:rPr>
              <w:t>乙方单位盖章：</w:t>
            </w:r>
          </w:p>
        </w:tc>
        <w:tc>
          <w:tcPr>
            <w:tcW w:w="1313" w:type="dxa"/>
            <w:tcBorders>
              <w:top w:val="nil"/>
              <w:left w:val="nil"/>
            </w:tcBorders>
          </w:tcPr>
          <w:p w14:paraId="2101BFBC">
            <w:pPr>
              <w:spacing w:after="0" w:line="240" w:lineRule="auto"/>
              <w:ind w:right="105" w:rightChars="50"/>
              <w:jc w:val="both"/>
              <w:rPr>
                <w:rFonts w:hint="eastAsia" w:ascii="宋体" w:hAnsi="宋体" w:eastAsia="宋体" w:cs="宋体"/>
                <w:kern w:val="0"/>
                <w:sz w:val="24"/>
                <w:szCs w:val="24"/>
                <w:lang w:eastAsia="zh-CN"/>
              </w:rPr>
            </w:pPr>
          </w:p>
        </w:tc>
      </w:tr>
      <w:tr w14:paraId="4FCC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00" w:type="dxa"/>
            <w:gridSpan w:val="6"/>
          </w:tcPr>
          <w:p w14:paraId="0B8ECD8B">
            <w:pPr>
              <w:spacing w:after="0" w:line="240" w:lineRule="auto"/>
              <w:ind w:right="105" w:rightChars="50"/>
              <w:jc w:val="center"/>
              <w:rPr>
                <w:rFonts w:hint="eastAsia" w:ascii="宋体" w:hAnsi="宋体" w:eastAsia="宋体" w:cs="宋体"/>
                <w:kern w:val="0"/>
                <w:sz w:val="18"/>
                <w:szCs w:val="18"/>
                <w:vertAlign w:val="baseline"/>
                <w:lang w:eastAsia="zh-CN"/>
              </w:rPr>
            </w:pPr>
            <w:r>
              <w:rPr>
                <w:rFonts w:hint="eastAsia" w:ascii="宋体" w:hAnsi="宋体" w:cs="宋体"/>
                <w:kern w:val="0"/>
                <w:sz w:val="20"/>
                <w:szCs w:val="20"/>
                <w:vertAlign w:val="baseline"/>
                <w:lang w:val="en-US" w:eastAsia="zh-CN"/>
              </w:rPr>
              <w:t>_____年_____月______日</w:t>
            </w:r>
          </w:p>
        </w:tc>
      </w:tr>
    </w:tbl>
    <w:p w14:paraId="38E92062">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0"/>
        </w:rPr>
      </w:pPr>
    </w:p>
    <w:p w14:paraId="34CC266E">
      <w:pPr>
        <w:bidi w:val="0"/>
        <w:rPr>
          <w:rFonts w:hint="eastAsia"/>
        </w:rPr>
        <w:sectPr>
          <w:headerReference r:id="rId6" w:type="default"/>
          <w:footerReference r:id="rId7" w:type="default"/>
          <w:pgSz w:w="11906" w:h="16838"/>
          <w:pgMar w:top="283" w:right="283" w:bottom="283" w:left="283" w:header="283" w:footer="283" w:gutter="0"/>
          <w:pgNumType w:fmt="decimal" w:start="1"/>
          <w:cols w:space="720" w:num="1"/>
          <w:docGrid w:type="lines" w:linePitch="312" w:charSpace="0"/>
        </w:sectPr>
      </w:pPr>
    </w:p>
    <w:p w14:paraId="040893DD">
      <w:pPr>
        <w:pStyle w:val="28"/>
        <w:bidi w:val="0"/>
        <w:ind w:left="0" w:leftChars="0" w:firstLine="420" w:firstLineChars="0"/>
        <w:rPr>
          <w:rFonts w:hint="default"/>
          <w:lang w:val="en-US" w:eastAsia="zh-CN"/>
        </w:rPr>
      </w:pPr>
      <w:bookmarkStart w:id="11" w:name="_Ref17640"/>
      <w:r>
        <w:rPr>
          <w:rFonts w:hint="eastAsia"/>
          <w:lang w:val="en-US" w:eastAsia="zh-CN"/>
        </w:rPr>
        <w:t>业务澄清说明</w:t>
      </w:r>
      <w:bookmarkEnd w:id="11"/>
      <w:r>
        <w:rPr>
          <w:rFonts w:hint="eastAsia"/>
          <w:lang w:val="en-US" w:eastAsia="zh-CN"/>
        </w:rPr>
        <w:t>（壹式壹份）</w:t>
      </w:r>
      <w:r>
        <w:rPr>
          <w:rFonts w:hint="eastAsia"/>
          <w:lang w:val="en-US" w:eastAsia="zh-CN"/>
        </w:rPr>
        <mc:AlternateContent>
          <mc:Choice Requires="wps">
            <w:drawing>
              <wp:anchor distT="0" distB="0" distL="114300" distR="114300" simplePos="0" relativeHeight="251661312" behindDoc="0" locked="0" layoutInCell="1" allowOverlap="1">
                <wp:simplePos x="0" y="0"/>
                <wp:positionH relativeFrom="column">
                  <wp:posOffset>4666615</wp:posOffset>
                </wp:positionH>
                <wp:positionV relativeFrom="paragraph">
                  <wp:posOffset>-259080</wp:posOffset>
                </wp:positionV>
                <wp:extent cx="1946910" cy="407670"/>
                <wp:effectExtent l="0" t="0" r="8890" b="11430"/>
                <wp:wrapNone/>
                <wp:docPr id="9" name="文本框 39"/>
                <wp:cNvGraphicFramePr/>
                <a:graphic xmlns:a="http://schemas.openxmlformats.org/drawingml/2006/main">
                  <a:graphicData uri="http://schemas.microsoft.com/office/word/2010/wordprocessingShape">
                    <wps:wsp>
                      <wps:cNvSpPr txBox="1"/>
                      <wps:spPr>
                        <a:xfrm>
                          <a:off x="0" y="0"/>
                          <a:ext cx="1946910" cy="407670"/>
                        </a:xfrm>
                        <a:prstGeom prst="rect">
                          <a:avLst/>
                        </a:prstGeom>
                        <a:solidFill>
                          <a:srgbClr val="FFFFFF"/>
                        </a:solidFill>
                        <a:ln>
                          <a:noFill/>
                        </a:ln>
                      </wps:spPr>
                      <wps:txbx>
                        <w:txbxContent>
                          <w:p w14:paraId="31E5549C">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052D5016">
                            <w:pPr>
                              <w:rPr>
                                <w:rFonts w:eastAsia="宋体" w:cs="Times New Roman"/>
                                <w:szCs w:val="24"/>
                              </w:rPr>
                            </w:pPr>
                          </w:p>
                        </w:txbxContent>
                      </wps:txbx>
                      <wps:bodyPr wrap="square" upright="1"/>
                    </wps:wsp>
                  </a:graphicData>
                </a:graphic>
              </wp:anchor>
            </w:drawing>
          </mc:Choice>
          <mc:Fallback>
            <w:pict>
              <v:shape id="文本框 39" o:spid="_x0000_s1026" o:spt="202" type="#_x0000_t202" style="position:absolute;left:0pt;margin-left:367.45pt;margin-top:-20.4pt;height:32.1pt;width:153.3pt;z-index:251661312;mso-width-relative:page;mso-height-relative:page;" fillcolor="#FFFFFF" filled="t" stroked="f" coordsize="21600,21600" o:gfxdata="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&#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Bu3o2QAAAAsBAAAPAAAAAAAAAAEAIAAAACIAAABk&#10;cnMvZG93bnJldi54bWxQSwECFAAUAAAACACHTuJAoXjqCswBAACGAwAADgAAAAAAAAABACAAAAAo&#10;AQAAZHJzL2Uyb0RvYy54bWxQSwUGAAAAAAYABgBZAQAAZgUAAAAA&#10;">
                <v:fill on="t" focussize="0,0"/>
                <v:stroke on="f"/>
                <v:imagedata o:title=""/>
                <o:lock v:ext="edit" aspectratio="f"/>
                <v:textbox>
                  <w:txbxContent>
                    <w:p w14:paraId="31E5549C">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052D5016">
                      <w:pPr>
                        <w:rPr>
                          <w:rFonts w:eastAsia="宋体" w:cs="Times New Roman"/>
                          <w:szCs w:val="24"/>
                        </w:rPr>
                      </w:pPr>
                    </w:p>
                  </w:txbxContent>
                </v:textbox>
              </v:shape>
            </w:pict>
          </mc:Fallback>
        </mc:AlternateContent>
      </w:r>
    </w:p>
    <w:p w14:paraId="5703CF62">
      <w:pPr>
        <w:spacing w:line="56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业务澄清说明</w:t>
      </w:r>
    </w:p>
    <w:p w14:paraId="163F7929">
      <w:pPr>
        <w:spacing w:line="560" w:lineRule="exact"/>
        <w:jc w:val="center"/>
        <w:rPr>
          <w:rFonts w:hint="eastAsia" w:ascii="黑体" w:hAnsi="黑体" w:eastAsia="黑体" w:cs="黑体"/>
          <w:kern w:val="0"/>
          <w:sz w:val="32"/>
          <w:szCs w:val="32"/>
        </w:rPr>
      </w:pPr>
    </w:p>
    <w:p w14:paraId="1D70C5E8">
      <w:pPr>
        <w:spacing w:line="360" w:lineRule="auto"/>
        <w:rPr>
          <w:rFonts w:ascii="仿宋_GB2312" w:hAnsi="等线" w:eastAsia="仿宋_GB2312" w:cs="仿宋_GB2312"/>
          <w:sz w:val="30"/>
          <w:szCs w:val="30"/>
        </w:rPr>
      </w:pPr>
    </w:p>
    <w:p w14:paraId="53EA5299">
      <w:pPr>
        <w:tabs>
          <w:tab w:val="left" w:pos="1843"/>
        </w:tabs>
        <w:adjustRightInd w:val="0"/>
        <w:snapToGrid w:val="0"/>
        <w:spacing w:line="360" w:lineRule="auto"/>
        <w:rPr>
          <w:rFonts w:hint="eastAsia" w:ascii="宋体" w:hAnsi="宋体" w:eastAsia="宋体" w:cs="宋体"/>
          <w:sz w:val="32"/>
          <w:szCs w:val="32"/>
        </w:rPr>
      </w:pPr>
      <w:r>
        <w:rPr>
          <w:rFonts w:hint="eastAsia" w:ascii="宋体" w:hAnsi="宋体" w:eastAsia="宋体" w:cs="宋体"/>
          <w:sz w:val="32"/>
          <w:szCs w:val="32"/>
        </w:rPr>
        <w:t>山东钢铁集团日照有限公司：</w:t>
      </w:r>
    </w:p>
    <w:p w14:paraId="38BFED5C">
      <w:pPr>
        <w:tabs>
          <w:tab w:val="left" w:pos="1843"/>
        </w:tabs>
        <w:adjustRightInd w:val="0"/>
        <w:snapToGrid w:val="0"/>
        <w:spacing w:line="360" w:lineRule="auto"/>
        <w:ind w:firstLine="640" w:firstLineChars="200"/>
        <w:rPr>
          <w:rFonts w:hint="eastAsia" w:ascii="宋体" w:hAnsi="宋体" w:eastAsia="宋体" w:cs="宋体"/>
          <w:sz w:val="32"/>
          <w:szCs w:val="32"/>
        </w:rPr>
      </w:pPr>
      <w:r>
        <w:rPr>
          <w:rFonts w:hint="eastAsia" w:ascii="宋体" w:hAnsi="宋体" w:eastAsia="宋体" w:cs="宋体"/>
          <w:color w:val="FFFFFF"/>
          <w:sz w:val="32"/>
          <w:szCs w:val="32"/>
          <w:u w:val="single" w:color="0070C0"/>
          <w:lang w:val="en-US" w:eastAsia="zh-CN"/>
        </w:rPr>
        <w:t>__________________________</w:t>
      </w:r>
      <w:r>
        <w:rPr>
          <w:rFonts w:hint="eastAsia" w:ascii="宋体" w:hAnsi="宋体" w:eastAsia="宋体" w:cs="宋体"/>
          <w:sz w:val="32"/>
          <w:szCs w:val="32"/>
          <w:u w:val="single" w:color="0070C0"/>
          <w:lang w:eastAsia="zh-CN"/>
        </w:rPr>
        <w:t>有限公司</w:t>
      </w:r>
      <w:r>
        <w:rPr>
          <w:rFonts w:hint="eastAsia" w:ascii="宋体" w:hAnsi="宋体" w:eastAsia="宋体" w:cs="宋体"/>
          <w:sz w:val="32"/>
          <w:szCs w:val="32"/>
        </w:rPr>
        <w:t>（以下称：我司），现存在购买贵公司</w:t>
      </w:r>
      <w:r>
        <w:rPr>
          <w:rFonts w:hint="eastAsia" w:ascii="宋体" w:hAnsi="宋体" w:eastAsia="宋体" w:cs="宋体"/>
          <w:color w:val="FFFFFF"/>
          <w:sz w:val="32"/>
          <w:szCs w:val="32"/>
          <w:u w:val="single" w:color="0070C0"/>
          <w:lang w:val="en-US" w:eastAsia="zh-CN"/>
        </w:rPr>
        <w:t>________</w:t>
      </w:r>
      <w:r>
        <w:rPr>
          <w:rFonts w:hint="eastAsia" w:ascii="宋体" w:hAnsi="宋体" w:eastAsia="宋体" w:cs="宋体"/>
          <w:color w:val="auto"/>
          <w:sz w:val="32"/>
          <w:szCs w:val="32"/>
          <w:u w:val="single" w:color="0070C0"/>
          <w:lang w:val="en-US" w:eastAsia="zh-CN"/>
        </w:rPr>
        <w:t>（填写物资名称）</w:t>
      </w:r>
      <w:r>
        <w:rPr>
          <w:rFonts w:hint="eastAsia" w:ascii="宋体" w:hAnsi="宋体" w:eastAsia="宋体" w:cs="宋体"/>
          <w:color w:val="FFFFFF"/>
          <w:sz w:val="32"/>
          <w:szCs w:val="32"/>
          <w:u w:val="single" w:color="0070C0"/>
          <w:lang w:val="en-US" w:eastAsia="zh-CN"/>
        </w:rPr>
        <w:t>________</w:t>
      </w:r>
      <w:r>
        <w:rPr>
          <w:rFonts w:hint="eastAsia" w:ascii="宋体" w:hAnsi="宋体" w:eastAsia="宋体" w:cs="宋体"/>
          <w:sz w:val="32"/>
          <w:szCs w:val="32"/>
        </w:rPr>
        <w:t>业务，</w:t>
      </w:r>
      <w:r>
        <w:rPr>
          <w:rFonts w:hint="eastAsia" w:ascii="宋体" w:hAnsi="宋体" w:eastAsia="宋体" w:cs="宋体"/>
          <w:sz w:val="32"/>
          <w:szCs w:val="32"/>
          <w:lang w:val="en-US" w:eastAsia="zh-CN"/>
        </w:rPr>
        <w:t>严格管理提货车辆预约权限，</w:t>
      </w:r>
      <w:r>
        <w:rPr>
          <w:rFonts w:hint="eastAsia" w:ascii="宋体" w:hAnsi="宋体" w:eastAsia="宋体" w:cs="宋体"/>
          <w:sz w:val="32"/>
          <w:szCs w:val="32"/>
        </w:rPr>
        <w:t>自提车辆仅用作购买外发</w:t>
      </w:r>
      <w:r>
        <w:rPr>
          <w:rFonts w:hint="eastAsia" w:ascii="宋体" w:hAnsi="宋体" w:eastAsia="宋体" w:cs="宋体"/>
          <w:color w:val="FFFFFF"/>
          <w:sz w:val="32"/>
          <w:szCs w:val="32"/>
          <w:u w:val="single" w:color="0070C0"/>
          <w:lang w:val="en-US" w:eastAsia="zh-CN"/>
        </w:rPr>
        <w:t>________</w:t>
      </w:r>
      <w:r>
        <w:rPr>
          <w:rFonts w:hint="eastAsia" w:ascii="宋体" w:hAnsi="宋体" w:eastAsia="宋体" w:cs="宋体"/>
          <w:color w:val="auto"/>
          <w:sz w:val="32"/>
          <w:szCs w:val="32"/>
          <w:u w:val="single" w:color="0070C0"/>
          <w:lang w:val="en-US" w:eastAsia="zh-CN"/>
        </w:rPr>
        <w:t>（填写物资名称）</w:t>
      </w:r>
      <w:r>
        <w:rPr>
          <w:rFonts w:hint="eastAsia" w:ascii="宋体" w:hAnsi="宋体" w:eastAsia="宋体" w:cs="宋体"/>
          <w:color w:val="FFFFFF"/>
          <w:sz w:val="32"/>
          <w:szCs w:val="32"/>
          <w:u w:val="single" w:color="0070C0"/>
          <w:lang w:val="en-US" w:eastAsia="zh-CN"/>
        </w:rPr>
        <w:t>_______</w:t>
      </w:r>
      <w:r>
        <w:rPr>
          <w:rFonts w:hint="eastAsia" w:ascii="宋体" w:hAnsi="宋体" w:eastAsia="宋体" w:cs="宋体"/>
          <w:sz w:val="32"/>
          <w:szCs w:val="32"/>
        </w:rPr>
        <w:t>使用，在此范围之外出现任何安全、环保</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治安等</w:t>
      </w:r>
      <w:r>
        <w:rPr>
          <w:rFonts w:hint="eastAsia" w:ascii="宋体" w:hAnsi="宋体" w:eastAsia="宋体" w:cs="宋体"/>
          <w:sz w:val="32"/>
          <w:szCs w:val="32"/>
        </w:rPr>
        <w:t>风险或事故</w:t>
      </w:r>
      <w:r>
        <w:rPr>
          <w:rFonts w:hint="eastAsia" w:ascii="宋体" w:hAnsi="宋体" w:eastAsia="宋体" w:cs="宋体"/>
          <w:sz w:val="32"/>
          <w:szCs w:val="32"/>
          <w:lang w:val="en-US" w:eastAsia="zh-CN"/>
        </w:rPr>
        <w:t>的</w:t>
      </w:r>
      <w:r>
        <w:rPr>
          <w:rFonts w:hint="eastAsia" w:ascii="宋体" w:hAnsi="宋体" w:eastAsia="宋体" w:cs="宋体"/>
          <w:sz w:val="32"/>
          <w:szCs w:val="32"/>
        </w:rPr>
        <w:t>，责任均由我司承担，与贵公司无关。</w:t>
      </w:r>
    </w:p>
    <w:p w14:paraId="5C30114D">
      <w:pPr>
        <w:pStyle w:val="27"/>
        <w:bidi w:val="0"/>
        <w:spacing w:line="360" w:lineRule="auto"/>
        <w:rPr>
          <w:rFonts w:hint="default"/>
          <w:lang w:val="en-US" w:eastAsia="zh-CN"/>
        </w:rPr>
      </w:pPr>
    </w:p>
    <w:p w14:paraId="490979D5">
      <w:pPr>
        <w:pStyle w:val="27"/>
        <w:bidi w:val="0"/>
        <w:spacing w:line="360" w:lineRule="auto"/>
        <w:rPr>
          <w:rFonts w:hint="default"/>
          <w:lang w:val="en-US" w:eastAsia="zh-CN"/>
        </w:rPr>
      </w:pPr>
    </w:p>
    <w:p w14:paraId="53BB4924">
      <w:pPr>
        <w:pStyle w:val="27"/>
        <w:bidi w:val="0"/>
        <w:spacing w:line="360" w:lineRule="auto"/>
        <w:jc w:val="center"/>
        <w:rPr>
          <w:rFonts w:hint="default" w:ascii="宋体" w:hAnsi="宋体" w:eastAsia="宋体" w:cs="宋体"/>
          <w:kern w:val="2"/>
          <w:sz w:val="32"/>
          <w:szCs w:val="32"/>
          <w:lang w:val="en-US" w:eastAsia="zh-CN" w:bidi="ar-SA"/>
        </w:rPr>
      </w:pPr>
      <w:r>
        <w:rPr>
          <w:rFonts w:hint="default" w:ascii="宋体" w:hAnsi="宋体" w:eastAsia="宋体" w:cs="宋体"/>
          <w:kern w:val="2"/>
          <w:sz w:val="32"/>
          <w:szCs w:val="32"/>
          <w:lang w:val="en-US" w:eastAsia="zh-CN" w:bidi="ar-SA"/>
        </w:rPr>
        <w:t>__________________________有限公司</w:t>
      </w:r>
    </w:p>
    <w:p w14:paraId="5179514B">
      <w:pPr>
        <w:pStyle w:val="27"/>
        <w:bidi w:val="0"/>
        <w:spacing w:line="360" w:lineRule="auto"/>
        <w:jc w:val="cente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_____年_____月_____日</w:t>
      </w:r>
    </w:p>
    <w:p w14:paraId="274EF433">
      <w:pPr>
        <w:keepNext w:val="0"/>
        <w:keepLines w:val="0"/>
        <w:pageBreakBefore w:val="0"/>
        <w:widowControl w:val="0"/>
        <w:kinsoku/>
        <w:wordWrap w:val="0"/>
        <w:overflowPunct/>
        <w:topLinePunct w:val="0"/>
        <w:autoSpaceDE/>
        <w:autoSpaceDN/>
        <w:bidi w:val="0"/>
        <w:adjustRightInd/>
        <w:spacing w:line="520" w:lineRule="exact"/>
        <w:ind w:right="0" w:firstLine="4480" w:firstLineChars="1400"/>
        <w:jc w:val="both"/>
        <w:textAlignment w:val="auto"/>
        <w:rPr>
          <w:rFonts w:hint="eastAsia" w:ascii="仿宋_GB2312" w:hAnsi="宋体" w:eastAsia="仿宋_GB2312" w:cs="仿宋_GB2312"/>
          <w:kern w:val="0"/>
          <w:sz w:val="32"/>
          <w:szCs w:val="32"/>
          <w:highlight w:val="green"/>
        </w:rPr>
      </w:pPr>
    </w:p>
    <w:p w14:paraId="1972923E">
      <w:pPr>
        <w:rPr>
          <w:rFonts w:hint="default"/>
          <w:lang w:val="en-US" w:eastAsia="zh-CN"/>
        </w:rPr>
      </w:pPr>
    </w:p>
    <w:sectPr>
      <w:headerReference r:id="rId8" w:type="default"/>
      <w:footerReference r:id="rId9" w:type="default"/>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8493">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E4B4">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8"/>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C070BB49"/>
    <w:multiLevelType w:val="singleLevel"/>
    <w:tmpl w:val="C070BB49"/>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076B3B74"/>
    <w:multiLevelType w:val="singleLevel"/>
    <w:tmpl w:val="076B3B74"/>
    <w:lvl w:ilvl="0" w:tentative="0">
      <w:start w:val="1"/>
      <w:numFmt w:val="decimal"/>
      <w:lvlText w:val="%1."/>
      <w:lvlJc w:val="left"/>
      <w:pPr>
        <w:ind w:left="425" w:hanging="425"/>
      </w:pPr>
      <w:rPr>
        <w:rFonts w:hint="default"/>
      </w:rPr>
    </w:lvl>
  </w:abstractNum>
  <w:abstractNum w:abstractNumId="6">
    <w:nsid w:val="2256DD64"/>
    <w:multiLevelType w:val="singleLevel"/>
    <w:tmpl w:val="2256DD64"/>
    <w:lvl w:ilvl="0" w:tentative="0">
      <w:start w:val="1"/>
      <w:numFmt w:val="upperLetter"/>
      <w:lvlText w:val="%1."/>
      <w:lvlJc w:val="left"/>
      <w:pPr>
        <w:ind w:left="425" w:hanging="425"/>
      </w:pPr>
      <w:rPr>
        <w:rFonts w:hint="default"/>
      </w:rPr>
    </w:lvl>
  </w:abstractNum>
  <w:abstractNum w:abstractNumId="7">
    <w:nsid w:val="2DB2C57E"/>
    <w:multiLevelType w:val="singleLevel"/>
    <w:tmpl w:val="2DB2C57E"/>
    <w:lvl w:ilvl="0" w:tentative="0">
      <w:start w:val="1"/>
      <w:numFmt w:val="decimal"/>
      <w:lvlText w:val="%1."/>
      <w:lvlJc w:val="left"/>
      <w:pPr>
        <w:ind w:left="425" w:hanging="425"/>
      </w:pPr>
      <w:rPr>
        <w:rFonts w:hint="default"/>
      </w:rPr>
    </w:lvl>
  </w:abstractNum>
  <w:abstractNum w:abstractNumId="8">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7069AF32"/>
    <w:multiLevelType w:val="singleLevel"/>
    <w:tmpl w:val="7069AF32"/>
    <w:lvl w:ilvl="0" w:tentative="0">
      <w:start w:val="1"/>
      <w:numFmt w:val="decimal"/>
      <w:lvlText w:val="%1."/>
      <w:lvlJc w:val="left"/>
      <w:pPr>
        <w:ind w:left="425" w:hanging="425"/>
      </w:pPr>
      <w:rPr>
        <w:rFonts w:hint="default"/>
      </w:rPr>
    </w:lvl>
  </w:abstractNum>
  <w:abstractNum w:abstractNumId="10">
    <w:nsid w:val="76D5B4C9"/>
    <w:multiLevelType w:val="singleLevel"/>
    <w:tmpl w:val="76D5B4C9"/>
    <w:lvl w:ilvl="0" w:tentative="0">
      <w:start w:val="1"/>
      <w:numFmt w:val="decimal"/>
      <w:lvlText w:val="%1."/>
      <w:lvlJc w:val="left"/>
      <w:pPr>
        <w:ind w:left="425" w:hanging="425"/>
      </w:pPr>
      <w:rPr>
        <w:rFonts w:hint="default"/>
      </w:rPr>
    </w:lvl>
  </w:abstractNum>
  <w:abstractNum w:abstractNumId="11">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2">
    <w:nsid w:val="7C643587"/>
    <w:multiLevelType w:val="singleLevel"/>
    <w:tmpl w:val="7C643587"/>
    <w:lvl w:ilvl="0" w:tentative="0">
      <w:start w:val="1"/>
      <w:numFmt w:val="decimalEnclosedCircleChinese"/>
      <w:suff w:val="nothing"/>
      <w:lvlText w:val="%1　"/>
      <w:lvlJc w:val="left"/>
      <w:pPr>
        <w:ind w:left="0" w:firstLine="400"/>
      </w:pPr>
      <w:rPr>
        <w:rFonts w:hint="eastAsia"/>
      </w:rPr>
    </w:lvl>
  </w:abstractNum>
  <w:num w:numId="1">
    <w:abstractNumId w:val="11"/>
  </w:num>
  <w:num w:numId="2">
    <w:abstractNumId w:val="0"/>
  </w:num>
  <w:num w:numId="3">
    <w:abstractNumId w:val="4"/>
  </w:num>
  <w:num w:numId="4">
    <w:abstractNumId w:val="6"/>
  </w:num>
  <w:num w:numId="5">
    <w:abstractNumId w:val="12"/>
  </w:num>
  <w:num w:numId="6">
    <w:abstractNumId w:val="2"/>
  </w:num>
  <w:num w:numId="7">
    <w:abstractNumId w:val="3"/>
  </w:num>
  <w:num w:numId="8">
    <w:abstractNumId w:val="10"/>
  </w:num>
  <w:num w:numId="9">
    <w:abstractNumId w:val="9"/>
  </w:num>
  <w:num w:numId="10">
    <w:abstractNumId w:val="8"/>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9B4CDD"/>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2D0D9E"/>
    <w:rsid w:val="015C3B20"/>
    <w:rsid w:val="016E2F6B"/>
    <w:rsid w:val="019B0467"/>
    <w:rsid w:val="01B56817"/>
    <w:rsid w:val="01DA7C98"/>
    <w:rsid w:val="01E0373D"/>
    <w:rsid w:val="025D6005"/>
    <w:rsid w:val="02976E93"/>
    <w:rsid w:val="04454854"/>
    <w:rsid w:val="044F4975"/>
    <w:rsid w:val="04690FF0"/>
    <w:rsid w:val="04A75E09"/>
    <w:rsid w:val="04A80FE6"/>
    <w:rsid w:val="050163DC"/>
    <w:rsid w:val="05E51393"/>
    <w:rsid w:val="05F42B1D"/>
    <w:rsid w:val="067439D1"/>
    <w:rsid w:val="06B47B0B"/>
    <w:rsid w:val="06CD634A"/>
    <w:rsid w:val="06D764F1"/>
    <w:rsid w:val="07A463F0"/>
    <w:rsid w:val="07E4638E"/>
    <w:rsid w:val="08E43B13"/>
    <w:rsid w:val="09502F56"/>
    <w:rsid w:val="095728DC"/>
    <w:rsid w:val="09691C90"/>
    <w:rsid w:val="096F5196"/>
    <w:rsid w:val="09DE66AB"/>
    <w:rsid w:val="0A1E618E"/>
    <w:rsid w:val="0A2D14EA"/>
    <w:rsid w:val="0A794352"/>
    <w:rsid w:val="0A7C0C5C"/>
    <w:rsid w:val="0ACB52B0"/>
    <w:rsid w:val="0B7A42BB"/>
    <w:rsid w:val="0BD75CA7"/>
    <w:rsid w:val="0C4F1380"/>
    <w:rsid w:val="0C7E77DC"/>
    <w:rsid w:val="0C8F3D96"/>
    <w:rsid w:val="0D92073A"/>
    <w:rsid w:val="0DB036D7"/>
    <w:rsid w:val="0E4B7772"/>
    <w:rsid w:val="0E565527"/>
    <w:rsid w:val="0E653000"/>
    <w:rsid w:val="0EAD49A7"/>
    <w:rsid w:val="0FE643B1"/>
    <w:rsid w:val="103B3681"/>
    <w:rsid w:val="10482EA5"/>
    <w:rsid w:val="10E25A06"/>
    <w:rsid w:val="110716A5"/>
    <w:rsid w:val="11417D86"/>
    <w:rsid w:val="11AE6D43"/>
    <w:rsid w:val="11EA7F82"/>
    <w:rsid w:val="120174E4"/>
    <w:rsid w:val="12835B2B"/>
    <w:rsid w:val="12A224B5"/>
    <w:rsid w:val="12A23D01"/>
    <w:rsid w:val="13CA5754"/>
    <w:rsid w:val="14076372"/>
    <w:rsid w:val="1411088D"/>
    <w:rsid w:val="14144435"/>
    <w:rsid w:val="14532906"/>
    <w:rsid w:val="1494463F"/>
    <w:rsid w:val="150C5E59"/>
    <w:rsid w:val="157A53F8"/>
    <w:rsid w:val="16817517"/>
    <w:rsid w:val="16C9125E"/>
    <w:rsid w:val="179113DD"/>
    <w:rsid w:val="17CD5D45"/>
    <w:rsid w:val="18775734"/>
    <w:rsid w:val="18BF1EA7"/>
    <w:rsid w:val="196802E0"/>
    <w:rsid w:val="19761A5B"/>
    <w:rsid w:val="19992CA5"/>
    <w:rsid w:val="19B843E6"/>
    <w:rsid w:val="19F9645A"/>
    <w:rsid w:val="1A3D79D1"/>
    <w:rsid w:val="1A9739B1"/>
    <w:rsid w:val="1B254510"/>
    <w:rsid w:val="1B304996"/>
    <w:rsid w:val="1B4C5D10"/>
    <w:rsid w:val="1BB903FE"/>
    <w:rsid w:val="1D613930"/>
    <w:rsid w:val="1D8E4BE5"/>
    <w:rsid w:val="1DC835AB"/>
    <w:rsid w:val="1F1B0F38"/>
    <w:rsid w:val="1F470E6A"/>
    <w:rsid w:val="20BA6BC3"/>
    <w:rsid w:val="21696E53"/>
    <w:rsid w:val="22127ADE"/>
    <w:rsid w:val="229117B1"/>
    <w:rsid w:val="230439CF"/>
    <w:rsid w:val="23792EBE"/>
    <w:rsid w:val="23C94A83"/>
    <w:rsid w:val="24B15EB9"/>
    <w:rsid w:val="24CD6279"/>
    <w:rsid w:val="24D90788"/>
    <w:rsid w:val="25040E9B"/>
    <w:rsid w:val="254650AE"/>
    <w:rsid w:val="268F1EB2"/>
    <w:rsid w:val="26AC55F3"/>
    <w:rsid w:val="278D0960"/>
    <w:rsid w:val="27DC0C69"/>
    <w:rsid w:val="28650375"/>
    <w:rsid w:val="292B2AE9"/>
    <w:rsid w:val="298C4DCD"/>
    <w:rsid w:val="2A2D0CE4"/>
    <w:rsid w:val="2A6C3598"/>
    <w:rsid w:val="2AD7256C"/>
    <w:rsid w:val="2B2E60BD"/>
    <w:rsid w:val="2B5D620B"/>
    <w:rsid w:val="2C4C7ABB"/>
    <w:rsid w:val="2C6577AD"/>
    <w:rsid w:val="2CEC5487"/>
    <w:rsid w:val="2CF15C51"/>
    <w:rsid w:val="2CF710AA"/>
    <w:rsid w:val="2D087520"/>
    <w:rsid w:val="2D0F75A5"/>
    <w:rsid w:val="2D190460"/>
    <w:rsid w:val="2D39592C"/>
    <w:rsid w:val="2D5F11F4"/>
    <w:rsid w:val="2D8B5B0F"/>
    <w:rsid w:val="2D9B6A99"/>
    <w:rsid w:val="2E051CB2"/>
    <w:rsid w:val="2E3D357E"/>
    <w:rsid w:val="2E815010"/>
    <w:rsid w:val="2E8320B8"/>
    <w:rsid w:val="2EEB409A"/>
    <w:rsid w:val="2EFE0E73"/>
    <w:rsid w:val="2F267DBF"/>
    <w:rsid w:val="2F725B46"/>
    <w:rsid w:val="307718EB"/>
    <w:rsid w:val="31CA4B7F"/>
    <w:rsid w:val="32381129"/>
    <w:rsid w:val="324234D5"/>
    <w:rsid w:val="32583F98"/>
    <w:rsid w:val="329D695D"/>
    <w:rsid w:val="32A31D22"/>
    <w:rsid w:val="32E86094"/>
    <w:rsid w:val="33154E93"/>
    <w:rsid w:val="339C7C7F"/>
    <w:rsid w:val="34E73EBF"/>
    <w:rsid w:val="35137533"/>
    <w:rsid w:val="351D2E62"/>
    <w:rsid w:val="35FE6418"/>
    <w:rsid w:val="36161EE1"/>
    <w:rsid w:val="366A6AFE"/>
    <w:rsid w:val="36E33AB1"/>
    <w:rsid w:val="37022ABB"/>
    <w:rsid w:val="37E31DBB"/>
    <w:rsid w:val="38594BF3"/>
    <w:rsid w:val="38B237D8"/>
    <w:rsid w:val="39191D3B"/>
    <w:rsid w:val="39644270"/>
    <w:rsid w:val="39D76A55"/>
    <w:rsid w:val="3A2E29CB"/>
    <w:rsid w:val="3A820A56"/>
    <w:rsid w:val="3A8B676C"/>
    <w:rsid w:val="3AA24609"/>
    <w:rsid w:val="3AAF51DA"/>
    <w:rsid w:val="3AD31A8D"/>
    <w:rsid w:val="3B0D4C8B"/>
    <w:rsid w:val="3B717074"/>
    <w:rsid w:val="3BEF756B"/>
    <w:rsid w:val="3C2514DF"/>
    <w:rsid w:val="3CDD478E"/>
    <w:rsid w:val="3D314E9B"/>
    <w:rsid w:val="3D571F3E"/>
    <w:rsid w:val="3D6568F8"/>
    <w:rsid w:val="3E4B02AC"/>
    <w:rsid w:val="3E904916"/>
    <w:rsid w:val="3E945FB0"/>
    <w:rsid w:val="3EA80D16"/>
    <w:rsid w:val="3EEF6792"/>
    <w:rsid w:val="3F5452C3"/>
    <w:rsid w:val="3F747419"/>
    <w:rsid w:val="3FF17476"/>
    <w:rsid w:val="4041301D"/>
    <w:rsid w:val="405D597D"/>
    <w:rsid w:val="40BC27D8"/>
    <w:rsid w:val="40CF0629"/>
    <w:rsid w:val="416F6D17"/>
    <w:rsid w:val="423563AB"/>
    <w:rsid w:val="42BE526E"/>
    <w:rsid w:val="42C16AB2"/>
    <w:rsid w:val="44392C44"/>
    <w:rsid w:val="44516AA5"/>
    <w:rsid w:val="44CB735A"/>
    <w:rsid w:val="4548730C"/>
    <w:rsid w:val="45F14986"/>
    <w:rsid w:val="465051E1"/>
    <w:rsid w:val="46E63068"/>
    <w:rsid w:val="46FA2376"/>
    <w:rsid w:val="472B7CC8"/>
    <w:rsid w:val="47604591"/>
    <w:rsid w:val="47BE7AFD"/>
    <w:rsid w:val="488B08C2"/>
    <w:rsid w:val="497560E9"/>
    <w:rsid w:val="49B567A0"/>
    <w:rsid w:val="4A875AD1"/>
    <w:rsid w:val="4B8B2296"/>
    <w:rsid w:val="4C03387D"/>
    <w:rsid w:val="4C693765"/>
    <w:rsid w:val="4D0C7577"/>
    <w:rsid w:val="4E4F1A76"/>
    <w:rsid w:val="4E7633BD"/>
    <w:rsid w:val="4F2F1886"/>
    <w:rsid w:val="4F3B1580"/>
    <w:rsid w:val="4F7030C5"/>
    <w:rsid w:val="4F934FD5"/>
    <w:rsid w:val="4FA26EED"/>
    <w:rsid w:val="4FEE1EAF"/>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F57606"/>
    <w:rsid w:val="56407BD9"/>
    <w:rsid w:val="568339E2"/>
    <w:rsid w:val="57497BC3"/>
    <w:rsid w:val="57540152"/>
    <w:rsid w:val="57763155"/>
    <w:rsid w:val="58B31BDC"/>
    <w:rsid w:val="590E16AF"/>
    <w:rsid w:val="59242993"/>
    <w:rsid w:val="592B5B5A"/>
    <w:rsid w:val="594C5F04"/>
    <w:rsid w:val="59A76862"/>
    <w:rsid w:val="5A1A05C1"/>
    <w:rsid w:val="5A5D5A97"/>
    <w:rsid w:val="5ADD380D"/>
    <w:rsid w:val="5B191999"/>
    <w:rsid w:val="5B253CD2"/>
    <w:rsid w:val="5B2F1F99"/>
    <w:rsid w:val="5B8E5344"/>
    <w:rsid w:val="5B98734E"/>
    <w:rsid w:val="5BA03FE5"/>
    <w:rsid w:val="5C0F3BD9"/>
    <w:rsid w:val="5CF60894"/>
    <w:rsid w:val="5D463AA6"/>
    <w:rsid w:val="5DD6624A"/>
    <w:rsid w:val="5DEB7849"/>
    <w:rsid w:val="5E27164D"/>
    <w:rsid w:val="5E37430A"/>
    <w:rsid w:val="5E6672DD"/>
    <w:rsid w:val="5E8E2CF9"/>
    <w:rsid w:val="5EAB0FB0"/>
    <w:rsid w:val="5ECC1563"/>
    <w:rsid w:val="5F245150"/>
    <w:rsid w:val="5FCD5A90"/>
    <w:rsid w:val="5FEF40DB"/>
    <w:rsid w:val="60B77271"/>
    <w:rsid w:val="61062540"/>
    <w:rsid w:val="617578B4"/>
    <w:rsid w:val="61BE331C"/>
    <w:rsid w:val="61EE7503"/>
    <w:rsid w:val="62CB1013"/>
    <w:rsid w:val="6354042C"/>
    <w:rsid w:val="63934232"/>
    <w:rsid w:val="639A288E"/>
    <w:rsid w:val="63A10B6C"/>
    <w:rsid w:val="63D97499"/>
    <w:rsid w:val="6478149E"/>
    <w:rsid w:val="64806E1C"/>
    <w:rsid w:val="64D91D9A"/>
    <w:rsid w:val="650E5897"/>
    <w:rsid w:val="655D7702"/>
    <w:rsid w:val="65765CA3"/>
    <w:rsid w:val="65865E9F"/>
    <w:rsid w:val="658F729A"/>
    <w:rsid w:val="65A65613"/>
    <w:rsid w:val="65C55FE7"/>
    <w:rsid w:val="66017EFB"/>
    <w:rsid w:val="66C41727"/>
    <w:rsid w:val="66E637B9"/>
    <w:rsid w:val="67390F85"/>
    <w:rsid w:val="678D7B72"/>
    <w:rsid w:val="6861460E"/>
    <w:rsid w:val="68625C1C"/>
    <w:rsid w:val="695F37D3"/>
    <w:rsid w:val="6B0418E7"/>
    <w:rsid w:val="6B0909F6"/>
    <w:rsid w:val="6B14187A"/>
    <w:rsid w:val="6B1B4E4B"/>
    <w:rsid w:val="6B715992"/>
    <w:rsid w:val="6C582222"/>
    <w:rsid w:val="6CC07DFA"/>
    <w:rsid w:val="6CF35827"/>
    <w:rsid w:val="6D955854"/>
    <w:rsid w:val="6DBA3CAB"/>
    <w:rsid w:val="6DEB0AC4"/>
    <w:rsid w:val="6E7E01A9"/>
    <w:rsid w:val="6E924B83"/>
    <w:rsid w:val="6F5A3B4B"/>
    <w:rsid w:val="6F8316A0"/>
    <w:rsid w:val="70626515"/>
    <w:rsid w:val="70703362"/>
    <w:rsid w:val="71127CF1"/>
    <w:rsid w:val="71EA2762"/>
    <w:rsid w:val="7225528D"/>
    <w:rsid w:val="7241309C"/>
    <w:rsid w:val="72473C14"/>
    <w:rsid w:val="72513F19"/>
    <w:rsid w:val="727D69DC"/>
    <w:rsid w:val="72A439A3"/>
    <w:rsid w:val="72B6607D"/>
    <w:rsid w:val="72C41B46"/>
    <w:rsid w:val="72CD6DFD"/>
    <w:rsid w:val="72D65639"/>
    <w:rsid w:val="73651920"/>
    <w:rsid w:val="739E16B7"/>
    <w:rsid w:val="74153A89"/>
    <w:rsid w:val="74746816"/>
    <w:rsid w:val="757434A6"/>
    <w:rsid w:val="758E7822"/>
    <w:rsid w:val="75BF2B20"/>
    <w:rsid w:val="760B7133"/>
    <w:rsid w:val="761F5C21"/>
    <w:rsid w:val="76746FA2"/>
    <w:rsid w:val="76AE39A1"/>
    <w:rsid w:val="76B02367"/>
    <w:rsid w:val="77106137"/>
    <w:rsid w:val="779535E4"/>
    <w:rsid w:val="78863D8B"/>
    <w:rsid w:val="78BA359E"/>
    <w:rsid w:val="78C64DC1"/>
    <w:rsid w:val="78C728B3"/>
    <w:rsid w:val="793F1560"/>
    <w:rsid w:val="796A3742"/>
    <w:rsid w:val="79E916CD"/>
    <w:rsid w:val="79FE0EE6"/>
    <w:rsid w:val="7A405E3E"/>
    <w:rsid w:val="7A55081F"/>
    <w:rsid w:val="7A82306D"/>
    <w:rsid w:val="7ADA3891"/>
    <w:rsid w:val="7B170231"/>
    <w:rsid w:val="7B3A4D4A"/>
    <w:rsid w:val="7BE95BD1"/>
    <w:rsid w:val="7C560B28"/>
    <w:rsid w:val="7CB26E0B"/>
    <w:rsid w:val="7D2232B3"/>
    <w:rsid w:val="7D4F26BF"/>
    <w:rsid w:val="7DC93DF6"/>
    <w:rsid w:val="7DD82857"/>
    <w:rsid w:val="7E1F0B73"/>
    <w:rsid w:val="7E5302AF"/>
    <w:rsid w:val="7E5F3050"/>
    <w:rsid w:val="7EC26ED1"/>
    <w:rsid w:val="7EEA3C82"/>
    <w:rsid w:val="7F275939"/>
    <w:rsid w:val="7F420A3D"/>
    <w:rsid w:val="7F8029CF"/>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2"/>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3"/>
    <w:unhideWhenUsed/>
    <w:qFormat/>
    <w:uiPriority w:val="99"/>
    <w:rPr>
      <w:sz w:val="18"/>
      <w:szCs w:val="18"/>
    </w:rPr>
  </w:style>
  <w:style w:type="paragraph" w:styleId="13">
    <w:name w:val="footer"/>
    <w:basedOn w:val="1"/>
    <w:link w:val="24"/>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FollowedHyperlink"/>
    <w:unhideWhenUsed/>
    <w:qFormat/>
    <w:uiPriority w:val="99"/>
    <w:rPr>
      <w:color w:val="4600A5"/>
      <w:u w:val="single"/>
    </w:rPr>
  </w:style>
  <w:style w:type="character" w:styleId="21">
    <w:name w:val="Hyperlink"/>
    <w:qFormat/>
    <w:uiPriority w:val="99"/>
    <w:rPr>
      <w:rFonts w:cs="Times New Roman"/>
      <w:color w:val="0000FF"/>
      <w:u w:val="single"/>
    </w:rPr>
  </w:style>
  <w:style w:type="character" w:customStyle="1" w:styleId="22">
    <w:name w:val="标题 1 Char"/>
    <w:link w:val="2"/>
    <w:qFormat/>
    <w:uiPriority w:val="0"/>
    <w:rPr>
      <w:rFonts w:eastAsia="黑体"/>
      <w:kern w:val="44"/>
      <w:sz w:val="32"/>
    </w:rPr>
  </w:style>
  <w:style w:type="character" w:customStyle="1" w:styleId="23">
    <w:name w:val="批注框文本 Char"/>
    <w:link w:val="12"/>
    <w:semiHidden/>
    <w:qFormat/>
    <w:uiPriority w:val="99"/>
    <w:rPr>
      <w:rFonts w:ascii="Calibri" w:hAnsi="Calibri" w:eastAsia="宋体" w:cs="Calibri"/>
      <w:sz w:val="18"/>
      <w:szCs w:val="18"/>
    </w:rPr>
  </w:style>
  <w:style w:type="character" w:customStyle="1" w:styleId="24">
    <w:name w:val="页脚 Char"/>
    <w:link w:val="13"/>
    <w:qFormat/>
    <w:uiPriority w:val="0"/>
    <w:rPr>
      <w:sz w:val="18"/>
      <w:szCs w:val="18"/>
    </w:rPr>
  </w:style>
  <w:style w:type="paragraph" w:customStyle="1" w:styleId="25">
    <w:name w:val="列出段落11"/>
    <w:basedOn w:val="1"/>
    <w:qFormat/>
    <w:uiPriority w:val="34"/>
    <w:pPr>
      <w:ind w:firstLine="420" w:firstLineChars="200"/>
    </w:pPr>
    <w:rPr>
      <w:rFonts w:cs="Times New Roman"/>
      <w:szCs w:val="22"/>
    </w:rPr>
  </w:style>
  <w:style w:type="paragraph" w:customStyle="1" w:styleId="26">
    <w:name w:val="列出段落1"/>
    <w:basedOn w:val="1"/>
    <w:qFormat/>
    <w:uiPriority w:val="0"/>
    <w:pPr>
      <w:ind w:firstLine="420" w:firstLineChars="200"/>
    </w:pPr>
  </w:style>
  <w:style w:type="paragraph" w:customStyle="1" w:styleId="27">
    <w:name w:val="16字号正文仿宋，缩进2"/>
    <w:basedOn w:val="1"/>
    <w:qFormat/>
    <w:uiPriority w:val="0"/>
    <w:pPr>
      <w:spacing w:line="560" w:lineRule="exact"/>
      <w:ind w:firstLine="880" w:firstLineChars="200"/>
      <w:jc w:val="both"/>
    </w:pPr>
    <w:rPr>
      <w:rFonts w:eastAsia="华文仿宋"/>
      <w:sz w:val="32"/>
    </w:rPr>
  </w:style>
  <w:style w:type="paragraph" w:customStyle="1" w:styleId="28">
    <w:name w:val="附件顺序编号"/>
    <w:basedOn w:val="2"/>
    <w:next w:val="1"/>
    <w:link w:val="29"/>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29">
    <w:name w:val="附件顺序编号 Char"/>
    <w:link w:val="28"/>
    <w:qFormat/>
    <w:uiPriority w:val="0"/>
    <w:rPr>
      <w:rFonts w:hint="eastAsia" w:ascii="黑体" w:hAnsi="黑体" w:eastAsia="黑体" w:cs="Times New Roman"/>
      <w:szCs w:val="24"/>
    </w:rPr>
  </w:style>
  <w:style w:type="paragraph" w:customStyle="1" w:styleId="30">
    <w:name w:val="p0"/>
    <w:basedOn w:val="1"/>
    <w:qFormat/>
    <w:uiPriority w:val="0"/>
    <w:pPr>
      <w:widowControl/>
    </w:pPr>
    <w:rPr>
      <w:kern w:val="0"/>
      <w:szCs w:val="21"/>
    </w:rPr>
  </w:style>
  <w:style w:type="character" w:customStyle="1" w:styleId="31">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3.emf"/><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10215</Words>
  <Characters>11266</Characters>
  <Lines>11</Lines>
  <Paragraphs>3</Paragraphs>
  <TotalTime>12</TotalTime>
  <ScaleCrop>false</ScaleCrop>
  <LinksUpToDate>false</LinksUpToDate>
  <CharactersWithSpaces>11306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一路向北</cp:lastModifiedBy>
  <cp:lastPrinted>2024-12-03T05:53:00Z</cp:lastPrinted>
  <dcterms:modified xsi:type="dcterms:W3CDTF">2026-03-02T06:51:53Z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FAC0176213014976B3C4CC5B2DA376E8_13</vt:lpwstr>
  </property>
  <property fmtid="{D5CDD505-2E9C-101B-9397-08002B2CF9AE}" pid="4" name="KSOTemplateDocerSaveRecord">
    <vt:lpwstr>eyJoZGlkIjoiZjBkMDU4YzQ5ODQwY2MzNjQ2MDFmNjdkNWNhMDQ4ZWIiLCJ1c2VySWQiOiI1Mjg0NzQzNjkifQ==</vt:lpwstr>
  </property>
</Properties>
</file>