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脱硫灰（2026第二批）竞卖公告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bidi="ar-SA"/>
        </w:rPr>
        <w:t>脱硫灰</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_GB2312" w:hAnsi="等线" w:eastAsia="仿宋_GB2312" w:cs="仿宋_GB2312"/>
                <w:sz w:val="28"/>
                <w:szCs w:val="28"/>
                <w:lang w:val="en-US" w:eastAsia="zh-CN"/>
              </w:rPr>
            </w:pPr>
            <w:r>
              <w:rPr>
                <w:rFonts w:hint="eastAsia" w:ascii="仿宋_GB2312" w:hAnsi="等线" w:eastAsia="仿宋_GB2312" w:cs="仿宋_GB2312"/>
                <w:sz w:val="28"/>
                <w:szCs w:val="28"/>
                <w:lang w:val="en-US" w:eastAsia="zh-CN"/>
              </w:rPr>
              <w:t>脱硫灰</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355</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hint="default" w:ascii="仿宋_GB2312" w:hAnsi="等线" w:eastAsia="仿宋_GB2312" w:cs="仿宋_GB2312"/>
                <w:sz w:val="28"/>
                <w:szCs w:val="28"/>
                <w:lang w:val="en-US"/>
              </w:rPr>
            </w:pPr>
            <w:r>
              <w:rPr>
                <w:rFonts w:hint="eastAsia" w:ascii="仿宋_GB2312" w:hAnsi="等线" w:eastAsia="仿宋_GB2312" w:cs="仿宋_GB2312"/>
                <w:sz w:val="24"/>
                <w:szCs w:val="24"/>
                <w:lang w:val="en-US" w:eastAsia="zh-CN"/>
              </w:rPr>
              <w:t>热轧厂、中厚板厂、炼铁厂区域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r>
        <w:rPr>
          <w:rFonts w:hint="eastAsia"/>
          <w:lang w:val="en-US" w:eastAsia="zh-CN"/>
        </w:rPr>
        <w:t xml:space="preserve"> </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684B732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jc w:val="both"/>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经营范围包含废旧物资，或固废、或建材，或灰渣的处理、加工、经销资质（包含其中一项即可）。</w:t>
      </w:r>
    </w:p>
    <w:p w14:paraId="34AC7BB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同时合同中增加终端处置单位的签章，并承担相应的环保风险。</w:t>
      </w:r>
    </w:p>
    <w:p w14:paraId="5E4695C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bookmarkStart w:id="0" w:name="OLE_LINK2"/>
      <w:r>
        <w:rPr>
          <w:rFonts w:hint="eastAsia" w:ascii="仿宋_GB2312" w:hAnsi="宋体" w:eastAsia="仿宋_GB2312" w:cs="仿宋_GB2312"/>
          <w:kern w:val="0"/>
          <w:sz w:val="32"/>
          <w:szCs w:val="32"/>
          <w:lang w:val="en-US" w:eastAsia="zh-CN" w:bidi="ar-SA"/>
        </w:rPr>
        <w:t>省内终端单位须在</w:t>
      </w:r>
      <w:bookmarkStart w:id="1" w:name="OLE_LINK3"/>
      <w:r>
        <w:rPr>
          <w:rFonts w:hint="eastAsia" w:ascii="仿宋_GB2312" w:hAnsi="宋体" w:eastAsia="仿宋_GB2312" w:cs="仿宋_GB2312"/>
          <w:kern w:val="0"/>
          <w:sz w:val="32"/>
          <w:szCs w:val="32"/>
          <w:lang w:val="en-US" w:eastAsia="zh-CN" w:bidi="ar-SA"/>
        </w:rPr>
        <w:t>无废山东智慧管理平台备案通过</w:t>
      </w:r>
      <w:bookmarkEnd w:id="1"/>
      <w:r>
        <w:rPr>
          <w:rFonts w:hint="eastAsia" w:ascii="仿宋_GB2312" w:hAnsi="宋体" w:eastAsia="仿宋_GB2312" w:cs="仿宋_GB2312"/>
          <w:kern w:val="0"/>
          <w:sz w:val="32"/>
          <w:szCs w:val="32"/>
          <w:lang w:val="en-US" w:eastAsia="zh-CN" w:bidi="ar-SA"/>
        </w:rPr>
        <w:t>，请在山钢集团招标采购与拍卖管理信息平台上传备案通过截图（附件4），并可以正常运行工业固废转移电子联单。</w:t>
      </w:r>
      <w:bookmarkEnd w:id="0"/>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2026年3</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9</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w:t>
      </w:r>
      <w:r>
        <w:rPr>
          <w:rFonts w:hint="eastAsia" w:ascii="仿宋_GB2312" w:hAnsi="Times New Roman" w:eastAsia="仿宋_GB2312" w:cs="宋体"/>
          <w:color w:val="000000"/>
          <w:sz w:val="32"/>
          <w:szCs w:val="32"/>
          <w:lang w:val="en-US" w:eastAsia="zh-CN"/>
        </w:rPr>
        <w:t>公司</w:t>
      </w:r>
      <w:r>
        <w:rPr>
          <w:rFonts w:hint="eastAsia" w:ascii="仿宋_GB2312" w:hAnsi="Times New Roman" w:eastAsia="仿宋_GB2312" w:cs="宋体"/>
          <w:color w:val="000000"/>
          <w:kern w:val="2"/>
          <w:sz w:val="32"/>
          <w:szCs w:val="32"/>
          <w:lang w:val="en-US" w:eastAsia="zh-CN" w:bidi="ar-SA"/>
        </w:rPr>
        <w:t>热轧厂、中厚板厂、炼铁厂</w:t>
      </w:r>
      <w:r>
        <w:rPr>
          <w:rFonts w:hint="eastAsia" w:ascii="仿宋_GB2312" w:hAnsi="Times New Roman" w:eastAsia="仿宋_GB2312" w:cs="宋体"/>
          <w:color w:val="000000"/>
          <w:sz w:val="32"/>
          <w:szCs w:val="32"/>
          <w:lang w:val="en-US" w:eastAsia="zh-CN"/>
        </w:rPr>
        <w:t>区域内</w:t>
      </w:r>
      <w:r>
        <w:rPr>
          <w:rFonts w:hint="eastAsia" w:ascii="仿宋_GB2312" w:hAnsi="Times New Roman" w:eastAsia="仿宋_GB2312" w:cs="宋体"/>
          <w:color w:val="000000"/>
          <w:sz w:val="32"/>
          <w:szCs w:val="32"/>
        </w:rPr>
        <w:t>，买方按卖方要求提货，须将</w:t>
      </w:r>
      <w:r>
        <w:rPr>
          <w:rFonts w:hint="eastAsia" w:ascii="仿宋_GB2312" w:hAnsi="Times New Roman" w:eastAsia="仿宋_GB2312" w:cs="宋体"/>
          <w:color w:val="000000"/>
          <w:sz w:val="32"/>
          <w:szCs w:val="32"/>
          <w:lang w:val="en-US" w:eastAsia="zh-CN"/>
        </w:rPr>
        <w:t>库存</w:t>
      </w:r>
      <w:r>
        <w:rPr>
          <w:rFonts w:hint="eastAsia" w:ascii="仿宋_GB2312" w:hAnsi="Times New Roman" w:eastAsia="仿宋_GB2312" w:cs="宋体"/>
          <w:color w:val="000000"/>
          <w:sz w:val="32"/>
          <w:szCs w:val="32"/>
        </w:rPr>
        <w:t>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7E272190">
      <w:pPr>
        <w:spacing w:line="560" w:lineRule="exact"/>
        <w:ind w:firstLine="640" w:firstLineChars="200"/>
        <w:rPr>
          <w:rFonts w:hint="default" w:ascii="仿宋_GB2312" w:hAnsi="仿宋" w:eastAsia="仿宋_GB2312" w:cs="宋体"/>
          <w:kern w:val="0"/>
          <w:sz w:val="32"/>
          <w:szCs w:val="32"/>
          <w:highlight w:val="yellow"/>
          <w:lang w:val="en-US" w:eastAsia="zh-CN"/>
        </w:rPr>
      </w:pPr>
      <w:r>
        <w:rPr>
          <w:rFonts w:hint="eastAsia" w:ascii="仿宋_GB2312" w:hAnsi="仿宋" w:eastAsia="仿宋_GB2312" w:cs="宋体"/>
          <w:kern w:val="0"/>
          <w:sz w:val="32"/>
          <w:szCs w:val="32"/>
          <w:highlight w:val="yellow"/>
          <w:lang w:val="en-US" w:eastAsia="zh-CN"/>
        </w:rPr>
        <w:t>e.</w:t>
      </w:r>
      <w:r>
        <w:rPr>
          <w:rFonts w:hint="eastAsia" w:ascii="仿宋_GB2312" w:hAnsi="仿宋" w:eastAsia="仿宋_GB2312" w:cs="宋体"/>
          <w:kern w:val="0"/>
          <w:sz w:val="32"/>
          <w:szCs w:val="32"/>
          <w:highlight w:val="yellow"/>
          <w:lang w:val="en-US" w:eastAsia="zh-CN" w:bidi="ar-SA"/>
        </w:rPr>
        <w:t>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2026年3月11日14:00（以系统网站时间为准）。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2025年3月12日10:00-11:00（以系统网站时间为准）。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3</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4</w:t>
      </w:r>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6409"/>
      <w:bookmarkStart w:id="3" w:name="_Ref12228"/>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w:t>
      </w:r>
      <w:r>
        <w:rPr>
          <w:rFonts w:hint="eastAsia" w:asciiTheme="minorEastAsia" w:hAnsiTheme="minorEastAsia" w:eastAsiaTheme="minorEastAsia" w:cstheme="minorEastAsia"/>
          <w:sz w:val="28"/>
          <w:szCs w:val="28"/>
          <w:lang w:val="en-US" w:eastAsia="zh-CN"/>
        </w:rPr>
        <w:t>脱硫灰2026第二批</w:t>
      </w:r>
      <w:bookmarkStart w:id="9" w:name="_GoBack"/>
      <w:bookmarkEnd w:id="9"/>
      <w:r>
        <w:rPr>
          <w:rFonts w:hint="eastAsia" w:asciiTheme="minorEastAsia" w:hAnsiTheme="minorEastAsia" w:eastAsiaTheme="minorEastAsia" w:cstheme="minorEastAsia"/>
          <w:sz w:val="28"/>
          <w:szCs w:val="28"/>
        </w:rPr>
        <w:t>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元/吨的报价，上述报价为含税（6%）人民币现汇出厂价格。认同竞卖公告中的所有条款，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愿意按照上述公告中的约定，承担相应的责任，并向山东钢铁集团日照有限公司缴纳1000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元（大写：壹</w:t>
      </w:r>
      <w:r>
        <w:rPr>
          <w:rFonts w:hint="eastAsia" w:asciiTheme="minorEastAsia" w:hAnsiTheme="minorEastAsia" w:eastAsiaTheme="minorEastAsia" w:cstheme="minorEastAsia"/>
          <w:sz w:val="28"/>
          <w:szCs w:val="28"/>
          <w:lang w:val="en-US" w:eastAsia="zh-CN"/>
        </w:rPr>
        <w:t>万</w:t>
      </w:r>
      <w:r>
        <w:rPr>
          <w:rFonts w:hint="eastAsia" w:asciiTheme="minorEastAsia" w:hAnsiTheme="minorEastAsia" w:eastAsiaTheme="minorEastAsia" w:cstheme="minorEastAsia"/>
          <w:sz w:val="28"/>
          <w:szCs w:val="28"/>
        </w:rPr>
        <w:t xml:space="preserve">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3C76FE16">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6615EBCE">
      <w:pP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br w:type="page"/>
      </w:r>
    </w:p>
    <w:p w14:paraId="49CDD153">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12200818">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1068E61C">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p w14:paraId="306BAEC9">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p>
    <w:p w14:paraId="16DFA28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6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0D4749"/>
    <w:rsid w:val="054F19D4"/>
    <w:rsid w:val="05E51393"/>
    <w:rsid w:val="05F42B1D"/>
    <w:rsid w:val="067439D1"/>
    <w:rsid w:val="06B47B0B"/>
    <w:rsid w:val="06CD634A"/>
    <w:rsid w:val="072145DC"/>
    <w:rsid w:val="07A463F0"/>
    <w:rsid w:val="07E4638E"/>
    <w:rsid w:val="08E43B13"/>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D92073A"/>
    <w:rsid w:val="0DB036D7"/>
    <w:rsid w:val="0E4B7772"/>
    <w:rsid w:val="0E653000"/>
    <w:rsid w:val="0EAD49A7"/>
    <w:rsid w:val="0F02192F"/>
    <w:rsid w:val="0FDE6ECC"/>
    <w:rsid w:val="103B3681"/>
    <w:rsid w:val="10482EA5"/>
    <w:rsid w:val="10E25A06"/>
    <w:rsid w:val="10F442DE"/>
    <w:rsid w:val="110716A5"/>
    <w:rsid w:val="11417D86"/>
    <w:rsid w:val="115D05FE"/>
    <w:rsid w:val="11AE6D43"/>
    <w:rsid w:val="11EA7F82"/>
    <w:rsid w:val="120174E4"/>
    <w:rsid w:val="12835B2B"/>
    <w:rsid w:val="12A224B5"/>
    <w:rsid w:val="12A23D01"/>
    <w:rsid w:val="13725DAD"/>
    <w:rsid w:val="139D3E55"/>
    <w:rsid w:val="13CA5754"/>
    <w:rsid w:val="14076372"/>
    <w:rsid w:val="1411088D"/>
    <w:rsid w:val="14144435"/>
    <w:rsid w:val="14532906"/>
    <w:rsid w:val="14900FF3"/>
    <w:rsid w:val="1494463F"/>
    <w:rsid w:val="150C5E59"/>
    <w:rsid w:val="157A53F8"/>
    <w:rsid w:val="15F15AC1"/>
    <w:rsid w:val="1681751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E22026D"/>
    <w:rsid w:val="1E626BF8"/>
    <w:rsid w:val="1F1B0F38"/>
    <w:rsid w:val="1F470E6A"/>
    <w:rsid w:val="204E3D51"/>
    <w:rsid w:val="20BA6BC3"/>
    <w:rsid w:val="21696E53"/>
    <w:rsid w:val="21A771F1"/>
    <w:rsid w:val="22127ADE"/>
    <w:rsid w:val="229117B1"/>
    <w:rsid w:val="230439CF"/>
    <w:rsid w:val="23792EBE"/>
    <w:rsid w:val="23C94A83"/>
    <w:rsid w:val="24215C55"/>
    <w:rsid w:val="248868FE"/>
    <w:rsid w:val="24B15EB9"/>
    <w:rsid w:val="24CD6279"/>
    <w:rsid w:val="24D90788"/>
    <w:rsid w:val="25040E9B"/>
    <w:rsid w:val="254650AE"/>
    <w:rsid w:val="25575CD2"/>
    <w:rsid w:val="25BE2734"/>
    <w:rsid w:val="25E158B1"/>
    <w:rsid w:val="268F1EB2"/>
    <w:rsid w:val="26AC55F3"/>
    <w:rsid w:val="278D0960"/>
    <w:rsid w:val="27B3257E"/>
    <w:rsid w:val="27DC0C69"/>
    <w:rsid w:val="28650375"/>
    <w:rsid w:val="28B06169"/>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8B5B0F"/>
    <w:rsid w:val="2D9B6A99"/>
    <w:rsid w:val="2E051CB2"/>
    <w:rsid w:val="2E3D357E"/>
    <w:rsid w:val="2E416C3C"/>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9C7C7F"/>
    <w:rsid w:val="33F1628E"/>
    <w:rsid w:val="34E73EBF"/>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23563AB"/>
    <w:rsid w:val="42937435"/>
    <w:rsid w:val="42BE526E"/>
    <w:rsid w:val="44392C44"/>
    <w:rsid w:val="44516AA5"/>
    <w:rsid w:val="44CB735A"/>
    <w:rsid w:val="4548730C"/>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1151862"/>
    <w:rsid w:val="51E14C3E"/>
    <w:rsid w:val="522C52B5"/>
    <w:rsid w:val="52377BDB"/>
    <w:rsid w:val="527B7257"/>
    <w:rsid w:val="531A4DD4"/>
    <w:rsid w:val="53D045BD"/>
    <w:rsid w:val="53D141ED"/>
    <w:rsid w:val="54017117"/>
    <w:rsid w:val="54177EC5"/>
    <w:rsid w:val="542577F8"/>
    <w:rsid w:val="54961345"/>
    <w:rsid w:val="54C93027"/>
    <w:rsid w:val="54FC1596"/>
    <w:rsid w:val="555606A4"/>
    <w:rsid w:val="55A90D9E"/>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B77271"/>
    <w:rsid w:val="61062540"/>
    <w:rsid w:val="613C281B"/>
    <w:rsid w:val="617578B4"/>
    <w:rsid w:val="61BE331C"/>
    <w:rsid w:val="61EE7503"/>
    <w:rsid w:val="62CB1013"/>
    <w:rsid w:val="6339636C"/>
    <w:rsid w:val="6354042C"/>
    <w:rsid w:val="63675376"/>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B0418E7"/>
    <w:rsid w:val="6B0909F6"/>
    <w:rsid w:val="6B14187A"/>
    <w:rsid w:val="6B715992"/>
    <w:rsid w:val="6C582222"/>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41235"/>
    <w:rsid w:val="72473C14"/>
    <w:rsid w:val="72513F19"/>
    <w:rsid w:val="727D69DC"/>
    <w:rsid w:val="72C41B46"/>
    <w:rsid w:val="72CD6DFD"/>
    <w:rsid w:val="72D65639"/>
    <w:rsid w:val="73651920"/>
    <w:rsid w:val="739E16B7"/>
    <w:rsid w:val="74153A89"/>
    <w:rsid w:val="74746816"/>
    <w:rsid w:val="75344507"/>
    <w:rsid w:val="757434A6"/>
    <w:rsid w:val="758E7822"/>
    <w:rsid w:val="75BF2B20"/>
    <w:rsid w:val="75CD1E85"/>
    <w:rsid w:val="760B7133"/>
    <w:rsid w:val="761F5C21"/>
    <w:rsid w:val="76746FA2"/>
    <w:rsid w:val="76AE39A1"/>
    <w:rsid w:val="76B02367"/>
    <w:rsid w:val="76DB3393"/>
    <w:rsid w:val="77106137"/>
    <w:rsid w:val="779535E4"/>
    <w:rsid w:val="78863D8B"/>
    <w:rsid w:val="78BA359E"/>
    <w:rsid w:val="78C64DC1"/>
    <w:rsid w:val="78C728B3"/>
    <w:rsid w:val="793F1560"/>
    <w:rsid w:val="795C61F7"/>
    <w:rsid w:val="796A3742"/>
    <w:rsid w:val="79E916CD"/>
    <w:rsid w:val="79FE0EE6"/>
    <w:rsid w:val="7A405E3E"/>
    <w:rsid w:val="7A55081F"/>
    <w:rsid w:val="7A82306D"/>
    <w:rsid w:val="7B170231"/>
    <w:rsid w:val="7B3A4D4A"/>
    <w:rsid w:val="7B7310BA"/>
    <w:rsid w:val="7BD56C7F"/>
    <w:rsid w:val="7BE95BD1"/>
    <w:rsid w:val="7C560B28"/>
    <w:rsid w:val="7C6B7E10"/>
    <w:rsid w:val="7CB26E0B"/>
    <w:rsid w:val="7D2232B3"/>
    <w:rsid w:val="7D4F26BF"/>
    <w:rsid w:val="7DC93DF6"/>
    <w:rsid w:val="7DD82857"/>
    <w:rsid w:val="7E1F0B73"/>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1678</Words>
  <Characters>1703</Characters>
  <Lines>11</Lines>
  <Paragraphs>3</Paragraphs>
  <TotalTime>21</TotalTime>
  <ScaleCrop>false</ScaleCrop>
  <LinksUpToDate>false</LinksUpToDate>
  <CharactersWithSpaces>1704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2026-03-04T01:15:10Z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