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B1EF6">
      <w:pPr>
        <w:pStyle w:val="3"/>
        <w:jc w:val="center"/>
        <w:rPr>
          <w:bCs w:val="0"/>
          <w:szCs w:val="20"/>
        </w:rPr>
      </w:pPr>
      <w:r>
        <w:rPr>
          <w:rFonts w:hint="eastAsia"/>
          <w:lang w:val="zh-CN"/>
        </w:rPr>
        <w:t>竞争性谈判公告</w:t>
      </w:r>
    </w:p>
    <w:p w14:paraId="433DB56E">
      <w:pPr>
        <w:autoSpaceDE w:val="0"/>
        <w:autoSpaceDN w:val="0"/>
        <w:adjustRightInd w:val="0"/>
        <w:spacing w:line="360" w:lineRule="auto"/>
        <w:ind w:firstLine="426" w:firstLineChars="202"/>
        <w:jc w:val="left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1.采购条件</w:t>
      </w:r>
    </w:p>
    <w:p w14:paraId="410F5E0B">
      <w:pPr>
        <w:pStyle w:val="2"/>
        <w:spacing w:line="360" w:lineRule="auto"/>
        <w:rPr>
          <w:rFonts w:hAnsi="宋体" w:cs="宋体"/>
          <w:color w:val="000000"/>
          <w:sz w:val="21"/>
          <w:szCs w:val="21"/>
        </w:rPr>
      </w:pPr>
      <w:r>
        <w:rPr>
          <w:rFonts w:hint="eastAsia"/>
          <w:sz w:val="21"/>
          <w:szCs w:val="21"/>
        </w:rPr>
        <w:t xml:space="preserve">    山东金召矿业有限公司</w:t>
      </w:r>
      <w:r>
        <w:rPr>
          <w:rFonts w:hint="eastAsia"/>
          <w:sz w:val="21"/>
          <w:szCs w:val="21"/>
          <w:lang w:eastAsia="zh-CN"/>
        </w:rPr>
        <w:t>主井提升机首绳更换项目</w:t>
      </w:r>
      <w:r>
        <w:rPr>
          <w:rFonts w:hint="eastAsia"/>
          <w:sz w:val="21"/>
          <w:szCs w:val="21"/>
        </w:rPr>
        <w:t>，采购人为山东金召矿业有限公司，采购项目资金来自企业自筹，出资比例为100%。该项目已具备采购条件，现对该项目进行竞争性谈判采购。</w:t>
      </w:r>
    </w:p>
    <w:p w14:paraId="3FF8DF20">
      <w:pPr>
        <w:autoSpaceDE w:val="0"/>
        <w:autoSpaceDN w:val="0"/>
        <w:adjustRightInd w:val="0"/>
        <w:spacing w:line="360" w:lineRule="auto"/>
        <w:ind w:firstLine="426" w:firstLineChars="202"/>
        <w:jc w:val="left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2.采购项目名称及内容：</w:t>
      </w:r>
    </w:p>
    <w:p w14:paraId="0222D033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default" w:ascii="宋体" w:hAnsi="宋体" w:eastAsia="宋体" w:cs="宋体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2.1项目编号：61140026030647</w:t>
      </w:r>
    </w:p>
    <w:p w14:paraId="207454D9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zh-CN" w:eastAsia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2.2项目名称：</w:t>
      </w:r>
      <w:r>
        <w:rPr>
          <w:rFonts w:hint="eastAsia" w:ascii="宋体" w:hAnsi="宋体" w:cs="宋体"/>
          <w:color w:val="000000"/>
          <w:szCs w:val="21"/>
          <w:lang w:val="zh-CN" w:eastAsia="zh-CN"/>
        </w:rPr>
        <w:t>山东金召矿业有限公司主井提升机首绳更换项目</w:t>
      </w:r>
    </w:p>
    <w:p w14:paraId="083D3110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2.3采购方式：竞争性谈判</w:t>
      </w:r>
    </w:p>
    <w:p w14:paraId="6BBF990D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default" w:ascii="宋体" w:hAnsi="宋体" w:cs="宋体"/>
          <w:szCs w:val="21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2.4采购内容：</w:t>
      </w:r>
      <w:r>
        <w:rPr>
          <w:rFonts w:hint="eastAsia" w:ascii="宋体" w:hAnsi="宋体" w:cs="宋体"/>
          <w:szCs w:val="21"/>
          <w:u w:val="none"/>
        </w:rPr>
        <w:t>为</w:t>
      </w:r>
      <w:r>
        <w:rPr>
          <w:rFonts w:hint="eastAsia" w:ascii="宋体" w:hAnsi="宋体" w:cs="宋体"/>
          <w:szCs w:val="21"/>
          <w:u w:val="none"/>
          <w:lang w:eastAsia="zh-CN"/>
        </w:rPr>
        <w:t>山东金召矿业有限公司主井提升机更换</w:t>
      </w:r>
      <w:r>
        <w:rPr>
          <w:rFonts w:hint="eastAsia" w:ascii="宋体" w:hAnsi="宋体" w:cs="宋体"/>
          <w:szCs w:val="21"/>
          <w:u w:val="none"/>
          <w:lang w:val="en-US" w:eastAsia="zh-CN"/>
        </w:rPr>
        <w:t>4条</w:t>
      </w:r>
      <w:r>
        <w:rPr>
          <w:rFonts w:hint="eastAsia" w:ascii="宋体" w:hAnsi="宋体" w:cs="宋体"/>
          <w:szCs w:val="21"/>
          <w:u w:val="none"/>
          <w:lang w:eastAsia="zh-CN"/>
        </w:rPr>
        <w:t>首绳。</w:t>
      </w:r>
    </w:p>
    <w:p w14:paraId="207C2CC3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u w:val="none"/>
          <w:lang w:val="zh-CN" w:eastAsia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2.5交付时间：</w:t>
      </w:r>
      <w:r>
        <w:rPr>
          <w:rFonts w:hint="eastAsia" w:ascii="宋体" w:hAnsi="宋体" w:cs="宋体"/>
        </w:rPr>
        <w:t>自合同签订之日</w:t>
      </w:r>
      <w:r>
        <w:rPr>
          <w:rFonts w:hint="eastAsia" w:ascii="宋体" w:hAnsi="宋体" w:eastAsia="宋体" w:cs="宋体"/>
          <w:szCs w:val="21"/>
          <w:lang w:eastAsia="zh-CN"/>
        </w:rPr>
        <w:t>起</w:t>
      </w:r>
      <w:r>
        <w:rPr>
          <w:rFonts w:hint="eastAsia" w:ascii="宋体" w:hAnsi="宋体" w:eastAsia="宋体" w:cs="宋体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szCs w:val="21"/>
          <w:lang w:eastAsia="zh-CN"/>
        </w:rPr>
        <w:t>天（设备停产时间不大于</w:t>
      </w:r>
      <w:r>
        <w:rPr>
          <w:rFonts w:hint="eastAsia" w:ascii="宋体" w:hAnsi="宋体" w:eastAsia="宋体" w:cs="宋体"/>
          <w:szCs w:val="21"/>
          <w:lang w:val="en-US" w:eastAsia="zh-CN"/>
        </w:rPr>
        <w:t>24小时）。</w:t>
      </w:r>
    </w:p>
    <w:p w14:paraId="420B20B5">
      <w:pPr>
        <w:adjustRightInd w:val="0"/>
        <w:snapToGrid w:val="0"/>
        <w:spacing w:line="360" w:lineRule="auto"/>
        <w:ind w:firstLine="426" w:firstLineChars="202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3.谈判供应商资格要求：</w:t>
      </w:r>
    </w:p>
    <w:p w14:paraId="4D5E91B1">
      <w:pPr>
        <w:adjustRightInd w:val="0"/>
        <w:snapToGrid w:val="0"/>
        <w:spacing w:line="360" w:lineRule="auto"/>
        <w:ind w:firstLine="424" w:firstLineChars="202"/>
        <w:rPr>
          <w:rFonts w:hint="eastAsia" w:ascii="宋体" w:hAnsi="宋体" w:eastAsia="宋体" w:cs="宋体"/>
          <w:b w:val="0"/>
          <w:bCs w:val="0"/>
          <w:kern w:val="0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Cs w:val="21"/>
          <w:lang w:val="zh-CN"/>
        </w:rPr>
        <w:t>3.1谈判供应商应在中华人民共和国注册并具有独立法人资格。</w:t>
      </w:r>
    </w:p>
    <w:p w14:paraId="4A1CD503">
      <w:pPr>
        <w:adjustRightInd w:val="0"/>
        <w:snapToGrid w:val="0"/>
        <w:spacing w:line="360" w:lineRule="auto"/>
        <w:ind w:firstLine="424" w:firstLineChars="202"/>
        <w:rPr>
          <w:rFonts w:hint="eastAsia" w:ascii="宋体" w:hAnsi="宋体" w:eastAsia="宋体" w:cs="宋体"/>
          <w:b w:val="0"/>
          <w:bCs w:val="0"/>
          <w:kern w:val="0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Cs w:val="21"/>
          <w:lang w:val="zh-CN"/>
        </w:rPr>
        <w:t>3.2资质要求：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lang w:val="zh-CN" w:eastAsia="zh-CN"/>
        </w:rPr>
        <w:t>谈判供应商须具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highlight w:val="none"/>
          <w:lang w:val="zh-CN" w:eastAsia="zh-CN"/>
        </w:rPr>
        <w:t>有矿山工程总承包二级及以上资质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highlight w:val="none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highlight w:val="none"/>
          <w:lang w:val="zh-CN" w:eastAsia="zh-CN"/>
        </w:rPr>
        <w:t>安全生产许可证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highlight w:val="none"/>
        </w:rPr>
        <w:t>。</w:t>
      </w:r>
    </w:p>
    <w:p w14:paraId="415B5430">
      <w:pPr>
        <w:adjustRightInd w:val="0"/>
        <w:snapToGrid w:val="0"/>
        <w:spacing w:line="360" w:lineRule="auto"/>
        <w:ind w:firstLine="424" w:firstLineChars="202"/>
        <w:rPr>
          <w:rFonts w:hint="eastAsia" w:ascii="宋体" w:hAnsi="宋体" w:eastAsia="宋体" w:cs="宋体"/>
          <w:b w:val="0"/>
          <w:bCs w:val="0"/>
          <w:kern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0"/>
          <w:szCs w:val="21"/>
          <w:lang w:val="zh-CN"/>
        </w:rPr>
        <w:t>3.3 提供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highlight w:val="none"/>
          <w:lang w:val="zh-CN"/>
        </w:rPr>
        <w:t>类似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highlight w:val="none"/>
          <w:lang w:val="en-US" w:eastAsia="zh-CN"/>
        </w:rPr>
        <w:t>首绳更换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highlight w:val="none"/>
          <w:lang w:val="zh-CN"/>
        </w:rPr>
        <w:t>业绩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highlight w:val="none"/>
          <w:lang w:val="en-US" w:eastAsia="zh-CN"/>
        </w:rPr>
        <w:t>3份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highlight w:val="none"/>
          <w:lang w:val="zh-CN"/>
        </w:rPr>
        <w:t>（以20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lang w:val="zh-CN"/>
        </w:rPr>
        <w:t>23年1月至今的合同为准，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</w:rPr>
        <w:t>至少要包括：合同双方主体的基本信息页，合同约定工作内容页、合同签字页等）。</w:t>
      </w:r>
    </w:p>
    <w:p w14:paraId="467591BA">
      <w:pPr>
        <w:adjustRightInd w:val="0"/>
        <w:snapToGrid w:val="0"/>
        <w:spacing w:line="360" w:lineRule="auto"/>
        <w:ind w:firstLine="424" w:firstLineChars="202"/>
        <w:rPr>
          <w:rFonts w:hint="eastAsia" w:ascii="宋体" w:hAnsi="宋体" w:eastAsia="宋体" w:cs="宋体"/>
          <w:b w:val="0"/>
          <w:bCs w:val="0"/>
          <w:kern w:val="0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Cs w:val="21"/>
          <w:lang w:val="zh-CN"/>
        </w:rPr>
        <w:t>3.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lang w:val="zh-CN"/>
        </w:rPr>
        <w:t>谈判供应商未被“信用中国”网站列入失信被执行人、重大税收违法失信主体；（须提供网络截图并加盖公司公章）。</w:t>
      </w:r>
    </w:p>
    <w:p w14:paraId="6431FBA0">
      <w:pPr>
        <w:adjustRightInd w:val="0"/>
        <w:snapToGrid w:val="0"/>
        <w:spacing w:line="360" w:lineRule="auto"/>
        <w:ind w:firstLine="424" w:firstLineChars="202"/>
        <w:rPr>
          <w:rFonts w:hint="eastAsia" w:ascii="宋体" w:hAnsi="宋体" w:eastAsia="宋体" w:cs="宋体"/>
          <w:b w:val="0"/>
          <w:bCs w:val="0"/>
          <w:kern w:val="0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Cs w:val="21"/>
          <w:lang w:val="zh-CN"/>
        </w:rPr>
        <w:t>3.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lang w:val="zh-CN"/>
        </w:rPr>
        <w:t>谈判供应商财务状况良好，没有处于财产被没收、接管、破产或其他关、停、并、转的状态，须提供近三年（202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lang w:val="zh-CN"/>
        </w:rPr>
        <w:t>年、202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lang w:val="zh-CN"/>
        </w:rPr>
        <w:t>年、202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lang w:val="zh-CN"/>
        </w:rPr>
        <w:t>年）财务审计报告；如近期成立的企业提供成立至今的财务审计报告。</w:t>
      </w:r>
    </w:p>
    <w:p w14:paraId="469A098A">
      <w:pPr>
        <w:adjustRightInd w:val="0"/>
        <w:snapToGrid w:val="0"/>
        <w:spacing w:line="360" w:lineRule="auto"/>
        <w:ind w:firstLine="426" w:firstLineChars="202"/>
        <w:rPr>
          <w:rFonts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zh-CN"/>
        </w:rPr>
        <w:t>3.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zh-CN"/>
        </w:rPr>
        <w:t>本项目不接受联合体投标。</w:t>
      </w:r>
    </w:p>
    <w:p w14:paraId="44490548">
      <w:pPr>
        <w:autoSpaceDE w:val="0"/>
        <w:autoSpaceDN w:val="0"/>
        <w:adjustRightInd w:val="0"/>
        <w:spacing w:line="360" w:lineRule="auto"/>
        <w:ind w:firstLine="426" w:firstLineChars="202"/>
        <w:jc w:val="left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4.谈判文件发售办法：</w:t>
      </w:r>
    </w:p>
    <w:p w14:paraId="1B6996D5">
      <w:pPr>
        <w:autoSpaceDE w:val="0"/>
        <w:autoSpaceDN w:val="0"/>
        <w:adjustRightInd w:val="0"/>
        <w:spacing w:line="360" w:lineRule="auto"/>
        <w:ind w:firstLine="424" w:firstLineChars="20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4.1本项目实行网上报名，网上发售电子版谈判文件。凡有意参加投标者，请于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u w:val="single"/>
          <w:lang w:eastAsia="zh-CN"/>
        </w:rPr>
        <w:t>2026年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日至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u w:val="single"/>
          <w:lang w:eastAsia="zh-CN"/>
        </w:rPr>
        <w:t>2026年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日登</w:t>
      </w:r>
      <w:r>
        <w:rPr>
          <w:rFonts w:hint="eastAsia" w:ascii="宋体" w:hAnsi="宋体" w:cs="宋体"/>
          <w:kern w:val="0"/>
          <w:szCs w:val="21"/>
        </w:rPr>
        <w:t>录山钢集团阳光购销平台（http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s</w:t>
      </w:r>
      <w:r>
        <w:rPr>
          <w:rFonts w:hint="eastAsia" w:ascii="宋体" w:hAnsi="宋体" w:cs="宋体"/>
          <w:kern w:val="0"/>
          <w:szCs w:val="21"/>
        </w:rPr>
        <w:t>://bams.shansteelgroup.com/）,报名并购买下载电子版谈判文件。</w:t>
      </w:r>
    </w:p>
    <w:p w14:paraId="63E4A49A">
      <w:pPr>
        <w:autoSpaceDE w:val="0"/>
        <w:autoSpaceDN w:val="0"/>
        <w:adjustRightInd w:val="0"/>
        <w:spacing w:line="360" w:lineRule="auto"/>
        <w:ind w:firstLine="424" w:firstLineChars="20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4.2未注册供应商，请登录山钢集团阳光购销平台（http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s</w:t>
      </w:r>
      <w:r>
        <w:rPr>
          <w:rFonts w:hint="eastAsia" w:ascii="宋体" w:hAnsi="宋体" w:cs="宋体"/>
          <w:kern w:val="0"/>
          <w:szCs w:val="21"/>
        </w:rPr>
        <w:t>://bams.shansteelgroup.com/）,注册用户成功后，须修改初始密码，重新登录后报名。注册时仅填写或上传带红星的必填项，完成注册即可；点击报名，已报名成功的项目将消失，系统给予报名成功的提示，不必理会系统给予的“上传业绩”、“交费”等提示，报名成功后再按本公告要求交费即可(必须先报名再交费）。</w:t>
      </w:r>
    </w:p>
    <w:p w14:paraId="1C2FE68D">
      <w:pPr>
        <w:autoSpaceDE w:val="0"/>
        <w:autoSpaceDN w:val="0"/>
        <w:adjustRightInd w:val="0"/>
        <w:spacing w:line="360" w:lineRule="auto"/>
        <w:ind w:firstLine="424" w:firstLineChars="20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4.3 谈判文件每包售价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ascii="宋体" w:hAnsi="宋体" w:cs="宋体"/>
          <w:kern w:val="0"/>
          <w:szCs w:val="21"/>
          <w:u w:val="single"/>
        </w:rPr>
        <w:t>200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元，售后不退；从谈判供应商基本账户电汇或转账到采购人账户，并在银行汇款或转账备注栏中注明项目编号(后四位) 及款项性质（标书费）；否则，采购人有权不予确认，由此引起的后果由潜在谈判供应商承担。</w:t>
      </w:r>
    </w:p>
    <w:p w14:paraId="0D88D979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采购人账户信息</w:t>
      </w:r>
    </w:p>
    <w:p w14:paraId="0DF2CC1A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 xml:space="preserve">账 户 名：山东金召矿业有限公司   </w:t>
      </w:r>
    </w:p>
    <w:p w14:paraId="7DC8E7E8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 xml:space="preserve">银行账号：1603065809200015622 </w:t>
      </w:r>
    </w:p>
    <w:p w14:paraId="316DC29D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开户银行：工行淄博高新华侨城支行</w:t>
      </w:r>
    </w:p>
    <w:p w14:paraId="645D8148">
      <w:pPr>
        <w:autoSpaceDE w:val="0"/>
        <w:autoSpaceDN w:val="0"/>
        <w:adjustRightInd w:val="0"/>
        <w:spacing w:line="360" w:lineRule="auto"/>
        <w:ind w:firstLine="424" w:firstLineChars="202"/>
        <w:jc w:val="left"/>
        <w:rPr>
          <w:rFonts w:hint="eastAsia" w:ascii="宋体" w:hAnsi="宋体" w:eastAsia="宋体" w:cs="宋体"/>
          <w:kern w:val="0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Cs w:val="21"/>
          <w:lang w:val="zh-CN"/>
        </w:rPr>
        <w:t>4.4 谈判供应商缴纳标书费后，采购人将在二个工作日内完成费用确认。确认完成后，谈判供应商可登录山钢集团阳光购销平台下载谈判文件。</w:t>
      </w:r>
    </w:p>
    <w:p w14:paraId="60F6B4DE">
      <w:pPr>
        <w:autoSpaceDE w:val="0"/>
        <w:autoSpaceDN w:val="0"/>
        <w:adjustRightInd w:val="0"/>
        <w:spacing w:line="360" w:lineRule="auto"/>
        <w:ind w:firstLine="424" w:firstLineChars="202"/>
        <w:jc w:val="left"/>
        <w:rPr>
          <w:rFonts w:hint="eastAsia" w:ascii="宋体" w:hAnsi="宋体" w:eastAsia="宋体" w:cs="宋体"/>
          <w:kern w:val="0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Cs w:val="21"/>
          <w:lang w:val="zh-CN"/>
        </w:rPr>
        <w:t>4.5 谈判供应商如需开具标书费发票，须将开票信息（含单位名称、纳税人识别号、地址电话、开户行及账号）、发票类型（增值税专用发票/增值税普通发票）、费用转账记录等材料，发送至电子邮箱：jlkyzbb@163.com。</w:t>
      </w:r>
    </w:p>
    <w:p w14:paraId="1E738BA0">
      <w:pPr>
        <w:autoSpaceDE w:val="0"/>
        <w:autoSpaceDN w:val="0"/>
        <w:adjustRightInd w:val="0"/>
        <w:spacing w:line="360" w:lineRule="auto"/>
        <w:ind w:firstLine="424" w:firstLineChars="202"/>
        <w:jc w:val="left"/>
        <w:rPr>
          <w:rFonts w:hint="eastAsia" w:ascii="宋体" w:hAnsi="宋体" w:eastAsia="宋体" w:cs="宋体"/>
          <w:kern w:val="0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Cs w:val="21"/>
          <w:lang w:val="zh-CN"/>
        </w:rPr>
        <w:t>4.6 本项目不接受未购买本谈判文件的供应商投标。</w:t>
      </w:r>
    </w:p>
    <w:p w14:paraId="5DCEFC9C">
      <w:pPr>
        <w:spacing w:line="360" w:lineRule="auto"/>
        <w:ind w:firstLine="422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5.响应文件的递交</w:t>
      </w:r>
    </w:p>
    <w:p w14:paraId="61136AF1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5.1谈判响应文件递交截止时间（开标时间）、地点。</w:t>
      </w:r>
    </w:p>
    <w:p w14:paraId="58EF1DD6">
      <w:pPr>
        <w:spacing w:line="360" w:lineRule="auto"/>
        <w:ind w:firstLine="420"/>
        <w:rPr>
          <w:rFonts w:ascii="宋体" w:hAnsi="宋体" w:cs="宋体"/>
          <w:b/>
          <w:bCs/>
          <w:kern w:val="0"/>
          <w:szCs w:val="21"/>
          <w:u w:val="single"/>
        </w:rPr>
      </w:pPr>
      <w:r>
        <w:rPr>
          <w:rFonts w:hint="eastAsia" w:ascii="宋体" w:hAnsi="宋体" w:cs="宋体"/>
          <w:szCs w:val="21"/>
        </w:rPr>
        <w:t>5.1.1谈判响应文件递交截止时间(开标时间)</w:t>
      </w:r>
      <w:r>
        <w:rPr>
          <w:rFonts w:hint="eastAsia" w:ascii="宋体" w:hAnsi="宋体" w:cs="宋体"/>
          <w:color w:val="auto"/>
          <w:szCs w:val="21"/>
          <w:highlight w:val="none"/>
        </w:rPr>
        <w:t>：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u w:val="single"/>
          <w:lang w:eastAsia="zh-CN"/>
        </w:rPr>
        <w:t>2026年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u w:val="single"/>
          <w:lang w:val="en-US" w:eastAsia="zh-CN"/>
        </w:rPr>
        <w:t>17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u w:val="single"/>
        </w:rPr>
        <w:t>日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u w:val="single"/>
        </w:rPr>
        <w:t>时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u w:val="single"/>
        </w:rPr>
        <w:t>分</w:t>
      </w:r>
    </w:p>
    <w:p w14:paraId="7CAD0079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5.1.2开标地点: </w:t>
      </w:r>
      <w:r>
        <w:rPr>
          <w:rFonts w:hint="eastAsia" w:ascii="宋体" w:hAnsi="宋体" w:cs="宋体"/>
          <w:szCs w:val="21"/>
          <w:lang w:eastAsia="zh-CN"/>
        </w:rPr>
        <w:t>山东金岭矿业股份有限公司科创中心</w:t>
      </w:r>
      <w:r>
        <w:rPr>
          <w:rFonts w:hint="eastAsia" w:ascii="宋体" w:hAnsi="宋体" w:cs="宋体"/>
          <w:szCs w:val="21"/>
        </w:rPr>
        <w:t>三楼开标室。</w:t>
      </w:r>
    </w:p>
    <w:p w14:paraId="414AEBE2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5.2谈判供应商递交响应文件应按照谈判文件的要求进行。</w:t>
      </w:r>
    </w:p>
    <w:p w14:paraId="667ADC04">
      <w:pPr>
        <w:spacing w:line="360" w:lineRule="auto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5.3逾期送达的、未送达指定地点的或者不按照谈判文件要求密封的响应文件，采购人将予以拒收。</w:t>
      </w:r>
    </w:p>
    <w:p w14:paraId="1469D51E">
      <w:pPr>
        <w:spacing w:line="360" w:lineRule="auto"/>
        <w:ind w:firstLine="42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szCs w:val="21"/>
        </w:rPr>
        <w:t>5.4</w:t>
      </w:r>
      <w:r>
        <w:rPr>
          <w:rFonts w:hint="eastAsia" w:ascii="宋体" w:hAnsi="宋体" w:cs="宋体"/>
          <w:b w:val="0"/>
          <w:bCs/>
          <w:color w:val="000000"/>
          <w:szCs w:val="21"/>
        </w:rPr>
        <w:t>本项目采用</w:t>
      </w:r>
      <w:r>
        <w:rPr>
          <w:rFonts w:hint="eastAsia" w:ascii="宋体" w:hAnsi="宋体" w:cs="宋体"/>
          <w:b/>
          <w:bCs w:val="0"/>
          <w:color w:val="000000"/>
          <w:szCs w:val="21"/>
          <w:lang w:eastAsia="zh-CN"/>
        </w:rPr>
        <w:t>现场</w:t>
      </w:r>
      <w:r>
        <w:rPr>
          <w:rFonts w:hint="eastAsia" w:ascii="宋体" w:hAnsi="宋体" w:cs="宋体"/>
          <w:b/>
          <w:bCs w:val="0"/>
          <w:color w:val="000000"/>
          <w:szCs w:val="21"/>
        </w:rPr>
        <w:t>谈判方式,</w:t>
      </w:r>
      <w:r>
        <w:rPr>
          <w:rFonts w:hint="eastAsia" w:ascii="宋体" w:hAnsi="宋体" w:cs="宋体"/>
          <w:b/>
          <w:bCs w:val="0"/>
          <w:color w:val="000000"/>
          <w:kern w:val="0"/>
          <w:szCs w:val="21"/>
        </w:rPr>
        <w:t>谈判供应商</w:t>
      </w:r>
      <w:r>
        <w:rPr>
          <w:rFonts w:hint="eastAsia" w:ascii="宋体" w:hAnsi="宋体" w:cs="宋体"/>
          <w:b/>
          <w:bCs w:val="0"/>
          <w:color w:val="000000"/>
          <w:szCs w:val="21"/>
        </w:rPr>
        <w:t>参加现场开标活动。</w:t>
      </w:r>
    </w:p>
    <w:p w14:paraId="03550A91">
      <w:pPr>
        <w:spacing w:line="360" w:lineRule="auto"/>
        <w:ind w:firstLine="422"/>
        <w:rPr>
          <w:rFonts w:ascii="宋体" w:hAnsi="宋体" w:cs="宋体"/>
          <w:b/>
          <w:bCs/>
          <w:szCs w:val="21"/>
        </w:rPr>
      </w:pPr>
      <w:bookmarkStart w:id="0" w:name="_Toc20031"/>
      <w:bookmarkStart w:id="1" w:name="_Toc392227734"/>
      <w:bookmarkStart w:id="2" w:name="_Toc3041"/>
      <w:r>
        <w:rPr>
          <w:rFonts w:hint="eastAsia" w:ascii="宋体" w:hAnsi="宋体" w:cs="宋体"/>
          <w:b/>
          <w:bCs/>
          <w:szCs w:val="21"/>
        </w:rPr>
        <w:t>6.发布公告的媒介</w:t>
      </w:r>
      <w:bookmarkEnd w:id="0"/>
      <w:bookmarkEnd w:id="1"/>
      <w:bookmarkEnd w:id="2"/>
    </w:p>
    <w:p w14:paraId="284D20E9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本项目谈判公告在“山钢集团阳光购销平台（http</w:t>
      </w:r>
      <w:r>
        <w:rPr>
          <w:rFonts w:hint="eastAsia" w:ascii="宋体" w:hAnsi="宋体" w:cs="宋体"/>
          <w:szCs w:val="21"/>
          <w:lang w:val="en-US" w:eastAsia="zh-CN"/>
        </w:rPr>
        <w:t>s</w:t>
      </w:r>
      <w:r>
        <w:rPr>
          <w:rFonts w:hint="eastAsia" w:ascii="宋体" w:hAnsi="宋体" w:cs="宋体"/>
          <w:szCs w:val="21"/>
        </w:rPr>
        <w:t>://bams.shansteelgroup.com/）”发布。谈判公告将明确对谈判供应商的资格要求、发售谈判文件的日期和方式、投标、开标等事宜。</w:t>
      </w:r>
    </w:p>
    <w:p w14:paraId="32ED3957">
      <w:pPr>
        <w:spacing w:line="360" w:lineRule="auto"/>
        <w:ind w:firstLine="422"/>
        <w:rPr>
          <w:rFonts w:ascii="宋体" w:hAnsi="宋体" w:cs="宋体"/>
          <w:b/>
          <w:bCs/>
          <w:szCs w:val="21"/>
        </w:rPr>
      </w:pPr>
      <w:bookmarkStart w:id="3" w:name="_Toc27956"/>
      <w:bookmarkStart w:id="4" w:name="_Toc12142"/>
      <w:r>
        <w:rPr>
          <w:rFonts w:hint="eastAsia" w:ascii="宋体" w:hAnsi="宋体" w:cs="宋体"/>
          <w:b/>
          <w:bCs/>
          <w:szCs w:val="21"/>
        </w:rPr>
        <w:t>7.联系方式</w:t>
      </w:r>
      <w:bookmarkEnd w:id="3"/>
      <w:bookmarkEnd w:id="4"/>
    </w:p>
    <w:p w14:paraId="09FDB776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联系地址：淄博市张店区中埠镇铁鹰路29号。</w:t>
      </w:r>
    </w:p>
    <w:p w14:paraId="0DE7CEC9">
      <w:pPr>
        <w:pStyle w:val="2"/>
        <w:spacing w:line="360" w:lineRule="auto"/>
        <w:ind w:firstLine="420"/>
        <w:rPr>
          <w:rFonts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电子邮箱: jlkyzbb@163.com</w:t>
      </w:r>
    </w:p>
    <w:p w14:paraId="0C4FA791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咨询时间： 工作日  上午：8:30-11:45      下午：13:30-16:45</w:t>
      </w:r>
    </w:p>
    <w:tbl>
      <w:tblPr>
        <w:tblStyle w:val="4"/>
        <w:tblpPr w:leftFromText="180" w:rightFromText="180" w:vertAnchor="text" w:horzAnchor="margin" w:tblpXSpec="center" w:tblpY="210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2268"/>
        <w:gridCol w:w="2977"/>
      </w:tblGrid>
      <w:tr w14:paraId="21CC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59" w:type="dxa"/>
            <w:noWrap w:val="0"/>
            <w:vAlign w:val="center"/>
          </w:tcPr>
          <w:p w14:paraId="1468764D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 w14:paraId="16B24072">
            <w:pPr>
              <w:spacing w:line="440" w:lineRule="exact"/>
              <w:ind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业务</w:t>
            </w:r>
          </w:p>
        </w:tc>
        <w:tc>
          <w:tcPr>
            <w:tcW w:w="2268" w:type="dxa"/>
            <w:noWrap w:val="0"/>
            <w:vAlign w:val="center"/>
          </w:tcPr>
          <w:p w14:paraId="571D5BB3">
            <w:pPr>
              <w:spacing w:line="440" w:lineRule="exact"/>
              <w:ind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2977" w:type="dxa"/>
            <w:noWrap w:val="0"/>
            <w:vAlign w:val="center"/>
          </w:tcPr>
          <w:p w14:paraId="670BB3A3">
            <w:pPr>
              <w:spacing w:line="440" w:lineRule="exact"/>
              <w:ind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</w:tr>
      <w:tr w14:paraId="4E64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noWrap w:val="0"/>
            <w:vAlign w:val="center"/>
          </w:tcPr>
          <w:p w14:paraId="729787B1">
            <w:pPr>
              <w:spacing w:line="440" w:lineRule="exact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 w14:paraId="4D81BE92">
            <w:pPr>
              <w:spacing w:line="440" w:lineRule="exact"/>
              <w:ind w:left="-2" w:leftChars="-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投标咨询</w:t>
            </w:r>
          </w:p>
        </w:tc>
        <w:tc>
          <w:tcPr>
            <w:tcW w:w="2268" w:type="dxa"/>
            <w:noWrap w:val="0"/>
            <w:vAlign w:val="center"/>
          </w:tcPr>
          <w:p w14:paraId="13014D81">
            <w:pPr>
              <w:spacing w:line="440" w:lineRule="exact"/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王先生/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宫</w:t>
            </w:r>
            <w:r>
              <w:rPr>
                <w:rFonts w:hint="eastAsia" w:ascii="宋体" w:hAnsi="宋体" w:cs="宋体"/>
                <w:szCs w:val="21"/>
              </w:rPr>
              <w:t>先生</w:t>
            </w:r>
          </w:p>
        </w:tc>
        <w:tc>
          <w:tcPr>
            <w:tcW w:w="2977" w:type="dxa"/>
            <w:noWrap w:val="0"/>
            <w:vAlign w:val="center"/>
          </w:tcPr>
          <w:p w14:paraId="56B5FE6F">
            <w:pPr>
              <w:spacing w:line="440" w:lineRule="exact"/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0533-3088212</w:t>
            </w:r>
          </w:p>
        </w:tc>
      </w:tr>
      <w:tr w14:paraId="0DB0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noWrap w:val="0"/>
            <w:vAlign w:val="center"/>
          </w:tcPr>
          <w:p w14:paraId="65D18423">
            <w:pPr>
              <w:spacing w:line="440" w:lineRule="exact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 w14:paraId="5524EFD8">
            <w:pPr>
              <w:spacing w:line="440" w:lineRule="exact"/>
              <w:ind w:left="-2" w:leftChars="-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商务咨询</w:t>
            </w:r>
          </w:p>
        </w:tc>
        <w:tc>
          <w:tcPr>
            <w:tcW w:w="2268" w:type="dxa"/>
            <w:noWrap w:val="0"/>
            <w:vAlign w:val="center"/>
          </w:tcPr>
          <w:p w14:paraId="34D780A8">
            <w:pPr>
              <w:spacing w:line="440" w:lineRule="exact"/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张</w:t>
            </w:r>
            <w:r>
              <w:rPr>
                <w:rFonts w:hint="eastAsia" w:ascii="宋体" w:hAnsi="宋体" w:cs="宋体"/>
                <w:szCs w:val="21"/>
              </w:rPr>
              <w:t>先生</w:t>
            </w:r>
          </w:p>
        </w:tc>
        <w:tc>
          <w:tcPr>
            <w:tcW w:w="2977" w:type="dxa"/>
            <w:noWrap w:val="0"/>
            <w:vAlign w:val="center"/>
          </w:tcPr>
          <w:p w14:paraId="44F0E41B">
            <w:pPr>
              <w:spacing w:line="440" w:lineRule="exact"/>
              <w:ind w:left="-2" w:leftChars="-1" w:firstLine="33" w:firstLineChars="16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0533-308</w:t>
            </w:r>
            <w:r>
              <w:rPr>
                <w:rFonts w:ascii="宋体" w:hAnsi="宋体" w:cs="宋体"/>
                <w:szCs w:val="21"/>
              </w:rPr>
              <w:t>95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89</w:t>
            </w:r>
          </w:p>
        </w:tc>
      </w:tr>
      <w:tr w14:paraId="24499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noWrap w:val="0"/>
            <w:vAlign w:val="center"/>
          </w:tcPr>
          <w:p w14:paraId="4B847309">
            <w:pPr>
              <w:spacing w:line="440" w:lineRule="exact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 w14:paraId="3EF2F011">
            <w:pPr>
              <w:spacing w:line="440" w:lineRule="exact"/>
              <w:ind w:left="-2" w:leftChars="-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技术咨询</w:t>
            </w:r>
          </w:p>
        </w:tc>
        <w:tc>
          <w:tcPr>
            <w:tcW w:w="2268" w:type="dxa"/>
            <w:noWrap w:val="0"/>
            <w:vAlign w:val="center"/>
          </w:tcPr>
          <w:p w14:paraId="2294CA99">
            <w:pPr>
              <w:spacing w:line="440" w:lineRule="exact"/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任</w:t>
            </w:r>
            <w:r>
              <w:rPr>
                <w:rFonts w:hint="eastAsia" w:ascii="宋体" w:hAnsi="宋体" w:cs="宋体"/>
                <w:szCs w:val="21"/>
              </w:rPr>
              <w:t>先生</w:t>
            </w:r>
          </w:p>
        </w:tc>
        <w:tc>
          <w:tcPr>
            <w:tcW w:w="2977" w:type="dxa"/>
            <w:noWrap w:val="0"/>
            <w:vAlign w:val="center"/>
          </w:tcPr>
          <w:p w14:paraId="55C7153A">
            <w:pPr>
              <w:spacing w:line="440" w:lineRule="exact"/>
              <w:ind w:left="-2" w:leftChars="-1" w:firstLine="33" w:firstLineChars="16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0533-7608579</w:t>
            </w:r>
          </w:p>
        </w:tc>
      </w:tr>
      <w:tr w14:paraId="291F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noWrap w:val="0"/>
            <w:vAlign w:val="center"/>
          </w:tcPr>
          <w:p w14:paraId="732A4EB3">
            <w:pPr>
              <w:spacing w:line="440" w:lineRule="exact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2268" w:type="dxa"/>
            <w:noWrap w:val="0"/>
            <w:vAlign w:val="center"/>
          </w:tcPr>
          <w:p w14:paraId="289D8A1B">
            <w:pPr>
              <w:spacing w:line="440" w:lineRule="exact"/>
              <w:ind w:left="-2" w:leftChars="-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监督</w:t>
            </w:r>
          </w:p>
        </w:tc>
        <w:tc>
          <w:tcPr>
            <w:tcW w:w="2268" w:type="dxa"/>
            <w:noWrap w:val="0"/>
            <w:vAlign w:val="center"/>
          </w:tcPr>
          <w:p w14:paraId="7ADE117A">
            <w:pPr>
              <w:spacing w:line="440" w:lineRule="exact"/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4ACAE422">
            <w:pPr>
              <w:spacing w:line="440" w:lineRule="exact"/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0533-3089311</w:t>
            </w:r>
          </w:p>
        </w:tc>
      </w:tr>
    </w:tbl>
    <w:p w14:paraId="48EB77E3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603AE"/>
    <w:rsid w:val="53F628F7"/>
    <w:rsid w:val="6A76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ascii="宋体" w:hAnsi="Arial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1419</Words>
  <Characters>1722</Characters>
  <Lines>0</Lines>
  <Paragraphs>0</Paragraphs>
  <TotalTime>0</TotalTime>
  <ScaleCrop>false</ScaleCrop>
  <LinksUpToDate>false</LinksUpToDate>
  <CharactersWithSpaces>1751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2026-03-06T05:51:00Z</dcterms:created>
  <dc:creator>张吉伟</dc:creator>
  <cp:lastModifiedBy>张吉伟</cp:lastModifiedBy>
  <dcterms:modified xsi:type="dcterms:W3CDTF">2026-03-06T06:15:46Z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0385280B882D4A5CA594D05330B6DA60_11</vt:lpwstr>
  </property>
  <property fmtid="{D5CDD505-2E9C-101B-9397-08002B2CF9AE}" pid="4" name="KSOTemplateDocerSaveRecord">
    <vt:lpwstr>eyJoZGlkIjoiMjI2NTAxNzQxZmExYTg2Yjg5YmY0NjAyOTQyOGNlN2MiLCJ1c2VySWQiOiI2MDAwMTA3NTIifQ==</vt:lpwstr>
  </property>
</Properties>
</file>