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000"/>
        </w:tabs>
        <w:autoSpaceDE w:val="0"/>
        <w:autoSpaceDN w:val="0"/>
        <w:adjustRightInd w:val="0"/>
        <w:spacing w:line="580" w:lineRule="exact"/>
        <w:jc w:val="center"/>
        <w:textAlignment w:val="center"/>
        <w:rPr>
          <w:rFonts w:ascii="仿宋_GB2312" w:eastAsia="仿宋_GB2312"/>
          <w:b/>
          <w:spacing w:val="45"/>
          <w:kern w:val="0"/>
          <w:sz w:val="36"/>
          <w:szCs w:val="36"/>
        </w:rPr>
      </w:pPr>
      <w:r>
        <w:rPr>
          <w:rFonts w:hint="eastAsia" w:ascii="仿宋_GB2312" w:eastAsia="仿宋_GB2312"/>
          <w:b/>
          <w:spacing w:val="45"/>
          <w:kern w:val="0"/>
          <w:sz w:val="36"/>
          <w:szCs w:val="36"/>
        </w:rPr>
        <w:t>山东钢铁股份有限公司</w:t>
      </w:r>
    </w:p>
    <w:p>
      <w:pPr>
        <w:tabs>
          <w:tab w:val="left" w:pos="3000"/>
        </w:tabs>
        <w:autoSpaceDE w:val="0"/>
        <w:autoSpaceDN w:val="0"/>
        <w:spacing w:line="580" w:lineRule="exact"/>
        <w:jc w:val="center"/>
        <w:textAlignment w:val="center"/>
        <w:rPr>
          <w:rFonts w:ascii="仿宋_GB2312" w:hAnsi="宋体" w:eastAsia="仿宋_GB2312"/>
          <w:b/>
          <w:w w:val="90"/>
          <w:sz w:val="36"/>
          <w:szCs w:val="36"/>
        </w:rPr>
      </w:pPr>
      <w:r>
        <w:rPr>
          <w:rFonts w:hint="eastAsia" w:ascii="仿宋_GB2312" w:eastAsia="仿宋_GB2312"/>
          <w:b/>
          <w:spacing w:val="45"/>
          <w:w w:val="90"/>
          <w:kern w:val="0"/>
          <w:sz w:val="36"/>
          <w:szCs w:val="36"/>
        </w:rPr>
        <w:t>（型钢厂</w:t>
      </w:r>
      <w:r>
        <w:rPr>
          <w:rFonts w:hint="eastAsia" w:ascii="仿宋_GB2312" w:eastAsia="仿宋_GB2312"/>
          <w:b/>
          <w:spacing w:val="45"/>
          <w:w w:val="90"/>
          <w:kern w:val="0"/>
          <w:sz w:val="36"/>
          <w:szCs w:val="36"/>
          <w:lang w:val="en-US" w:eastAsia="zh-CN"/>
        </w:rPr>
        <w:t>中异型线</w:t>
      </w:r>
      <w:r>
        <w:rPr>
          <w:rFonts w:hint="eastAsia" w:ascii="仿宋_GB2312" w:eastAsia="仿宋_GB2312"/>
          <w:b/>
          <w:spacing w:val="45"/>
          <w:w w:val="90"/>
          <w:kern w:val="0"/>
          <w:sz w:val="36"/>
          <w:szCs w:val="36"/>
          <w:lang w:eastAsia="zh-CN"/>
        </w:rPr>
        <w:t>打捆改制矫直</w:t>
      </w:r>
      <w:r>
        <w:rPr>
          <w:rFonts w:hint="eastAsia" w:ascii="仿宋_GB2312" w:eastAsia="仿宋_GB2312"/>
          <w:b/>
          <w:spacing w:val="45"/>
          <w:w w:val="90"/>
          <w:kern w:val="0"/>
          <w:sz w:val="36"/>
          <w:szCs w:val="36"/>
        </w:rPr>
        <w:t>）公开招标文件</w:t>
      </w:r>
    </w:p>
    <w:p>
      <w:pPr>
        <w:spacing w:line="560" w:lineRule="exact"/>
        <w:ind w:firstLine="555"/>
        <w:jc w:val="left"/>
        <w:rPr>
          <w:rFonts w:hint="eastAsia" w:ascii="仿宋_GB2312" w:hAnsi="宋体" w:eastAsia="仿宋_GB2312" w:cs="宋体"/>
          <w:kern w:val="0"/>
          <w:sz w:val="32"/>
          <w:szCs w:val="32"/>
        </w:rPr>
      </w:pPr>
      <w:bookmarkStart w:id="1" w:name="_GoBack"/>
      <w:bookmarkEnd w:id="1"/>
    </w:p>
    <w:p>
      <w:pPr>
        <w:spacing w:line="560" w:lineRule="exact"/>
        <w:ind w:firstLine="555"/>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为确保正常操作，按照公开公正公平原则，实行公开招标方式选择承揽单位。</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采购</w:t>
      </w:r>
      <w:r>
        <w:rPr>
          <w:rFonts w:hint="eastAsia" w:ascii="黑体" w:hAnsi="黑体" w:eastAsia="黑体"/>
          <w:sz w:val="32"/>
          <w:szCs w:val="32"/>
        </w:rPr>
        <w:t>单位</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山东钢铁股份有限公司</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二、项目名称</w:t>
      </w:r>
    </w:p>
    <w:p>
      <w:pPr>
        <w:spacing w:line="560" w:lineRule="exact"/>
        <w:ind w:firstLine="756" w:firstLineChars="200"/>
        <w:rPr>
          <w:rFonts w:ascii="仿宋_GB2312" w:eastAsia="仿宋_GB2312"/>
          <w:bCs/>
          <w:color w:val="000000"/>
          <w:sz w:val="32"/>
          <w:szCs w:val="32"/>
        </w:rPr>
      </w:pPr>
      <w:bookmarkStart w:id="0" w:name="OLE_LINK1"/>
      <w:r>
        <w:rPr>
          <w:rFonts w:hint="eastAsia" w:ascii="仿宋_GB2312" w:eastAsia="仿宋_GB2312"/>
          <w:spacing w:val="45"/>
          <w:w w:val="90"/>
          <w:kern w:val="0"/>
          <w:sz w:val="32"/>
          <w:szCs w:val="32"/>
        </w:rPr>
        <w:t>型钢厂</w:t>
      </w:r>
      <w:r>
        <w:rPr>
          <w:rFonts w:hint="eastAsia" w:ascii="仿宋_GB2312" w:eastAsia="仿宋_GB2312"/>
          <w:spacing w:val="45"/>
          <w:w w:val="90"/>
          <w:kern w:val="0"/>
          <w:sz w:val="32"/>
          <w:szCs w:val="32"/>
          <w:lang w:val="en-US" w:eastAsia="zh-CN"/>
        </w:rPr>
        <w:t>中异型线</w:t>
      </w:r>
      <w:r>
        <w:rPr>
          <w:rFonts w:hint="eastAsia" w:ascii="仿宋_GB2312" w:eastAsia="仿宋_GB2312"/>
          <w:spacing w:val="45"/>
          <w:w w:val="90"/>
          <w:kern w:val="0"/>
          <w:sz w:val="32"/>
          <w:szCs w:val="32"/>
          <w:lang w:eastAsia="zh-CN"/>
        </w:rPr>
        <w:t>打捆改制矫直</w:t>
      </w:r>
      <w:r>
        <w:rPr>
          <w:rFonts w:hint="eastAsia" w:ascii="仿宋_GB2312" w:eastAsia="仿宋_GB2312"/>
          <w:spacing w:val="45"/>
          <w:w w:val="90"/>
          <w:kern w:val="0"/>
          <w:sz w:val="32"/>
          <w:szCs w:val="32"/>
        </w:rPr>
        <w:t>业务</w:t>
      </w:r>
      <w:bookmarkEnd w:id="0"/>
    </w:p>
    <w:p>
      <w:pPr>
        <w:spacing w:line="560" w:lineRule="exact"/>
        <w:ind w:firstLine="640" w:firstLineChars="200"/>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val="en-US" w:eastAsia="zh-CN"/>
        </w:rPr>
        <w:t>采购</w:t>
      </w:r>
      <w:r>
        <w:rPr>
          <w:rFonts w:hint="eastAsia" w:ascii="黑体" w:hAnsi="黑体" w:eastAsia="黑体"/>
          <w:sz w:val="32"/>
          <w:szCs w:val="32"/>
        </w:rPr>
        <w:t>内容及服务要求</w:t>
      </w:r>
    </w:p>
    <w:p>
      <w:pPr>
        <w:autoSpaceDE w:val="0"/>
        <w:autoSpaceDN w:val="0"/>
        <w:adjustRightInd w:val="0"/>
        <w:spacing w:line="560" w:lineRule="exact"/>
        <w:ind w:firstLine="480" w:firstLineChars="150"/>
        <w:jc w:val="left"/>
        <w:textAlignment w:val="center"/>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（一）区域位置：型钢厂</w:t>
      </w:r>
    </w:p>
    <w:p>
      <w:pPr>
        <w:autoSpaceDE w:val="0"/>
        <w:autoSpaceDN w:val="0"/>
        <w:adjustRightInd w:val="0"/>
        <w:spacing w:line="580" w:lineRule="exact"/>
        <w:ind w:firstLine="480" w:firstLineChars="150"/>
        <w:jc w:val="left"/>
        <w:textAlignment w:val="center"/>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（二）业务承揽要求：</w:t>
      </w:r>
    </w:p>
    <w:p>
      <w:pPr>
        <w:autoSpaceDE w:val="0"/>
        <w:autoSpaceDN w:val="0"/>
        <w:adjustRightInd w:val="0"/>
        <w:spacing w:line="580" w:lineRule="exact"/>
        <w:ind w:firstLine="480" w:firstLineChars="150"/>
        <w:jc w:val="left"/>
        <w:textAlignment w:val="center"/>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1、在型钢厂生产线区域范围内，以“区域承包，自主管理”的原则，从事并按照质量管理要求完成</w:t>
      </w:r>
      <w:r>
        <w:rPr>
          <w:rFonts w:hint="eastAsia" w:ascii="仿宋_GB2312" w:hAnsi="宋体" w:eastAsia="仿宋_GB2312"/>
          <w:color w:val="000000"/>
          <w:kern w:val="0"/>
          <w:sz w:val="32"/>
          <w:szCs w:val="32"/>
          <w:lang w:eastAsia="zh-CN"/>
        </w:rPr>
        <w:t>中</w:t>
      </w:r>
      <w:r>
        <w:rPr>
          <w:rFonts w:hint="eastAsia" w:ascii="仿宋_GB2312" w:hAnsi="宋体" w:eastAsia="仿宋_GB2312"/>
          <w:color w:val="000000"/>
          <w:kern w:val="0"/>
          <w:sz w:val="32"/>
          <w:szCs w:val="32"/>
          <w:lang w:val="en-US" w:eastAsia="zh-CN"/>
        </w:rPr>
        <w:t>型线</w:t>
      </w:r>
      <w:r>
        <w:rPr>
          <w:rFonts w:hint="eastAsia" w:ascii="仿宋_GB2312" w:hAnsi="宋体" w:eastAsia="仿宋_GB2312"/>
          <w:color w:val="000000"/>
          <w:kern w:val="0"/>
          <w:sz w:val="32"/>
          <w:szCs w:val="32"/>
          <w:lang w:eastAsia="zh-CN"/>
        </w:rPr>
        <w:t>、异型线</w:t>
      </w:r>
      <w:r>
        <w:rPr>
          <w:rFonts w:hint="eastAsia" w:ascii="仿宋_GB2312" w:hAnsi="宋体" w:eastAsia="仿宋_GB2312"/>
          <w:color w:val="000000"/>
          <w:kern w:val="0"/>
          <w:sz w:val="32"/>
          <w:szCs w:val="32"/>
          <w:lang w:val="en-US" w:eastAsia="zh-CN"/>
        </w:rPr>
        <w:t>打捆收集区域</w:t>
      </w:r>
      <w:r>
        <w:rPr>
          <w:rFonts w:hint="eastAsia" w:ascii="仿宋_GB2312" w:hAnsi="宋体" w:eastAsia="仿宋_GB2312"/>
          <w:color w:val="000000"/>
          <w:kern w:val="0"/>
          <w:sz w:val="32"/>
          <w:szCs w:val="32"/>
        </w:rPr>
        <w:t>钢材打捆、毛刺修磨、贴牌作业相关任务</w:t>
      </w:r>
      <w:r>
        <w:rPr>
          <w:rFonts w:hint="eastAsia" w:ascii="仿宋_GB2312" w:hAnsi="宋体" w:eastAsia="仿宋_GB2312"/>
          <w:color w:val="000000"/>
          <w:kern w:val="0"/>
          <w:sz w:val="32"/>
          <w:szCs w:val="32"/>
          <w:lang w:eastAsia="zh-CN"/>
        </w:rPr>
        <w:t>，</w:t>
      </w:r>
      <w:r>
        <w:rPr>
          <w:rFonts w:hint="eastAsia" w:ascii="仿宋_GB2312" w:hAnsi="宋体" w:eastAsia="仿宋_GB2312"/>
          <w:color w:val="000000"/>
          <w:kern w:val="0"/>
          <w:sz w:val="32"/>
          <w:szCs w:val="32"/>
          <w:lang w:val="en-US" w:eastAsia="zh-CN"/>
        </w:rPr>
        <w:t>异型线检查床区域钢板桩锁扣毛刺清理作业，</w:t>
      </w:r>
      <w:r>
        <w:rPr>
          <w:rFonts w:hint="eastAsia" w:ascii="仿宋_GB2312" w:hAnsi="宋体" w:eastAsia="仿宋_GB2312"/>
          <w:color w:val="000000"/>
          <w:kern w:val="0"/>
          <w:sz w:val="32"/>
          <w:szCs w:val="32"/>
          <w:lang w:eastAsia="zh-CN"/>
        </w:rPr>
        <w:t>并</w:t>
      </w:r>
      <w:r>
        <w:rPr>
          <w:rFonts w:hint="eastAsia" w:ascii="仿宋_GB2312" w:hAnsi="宋体" w:eastAsia="仿宋_GB2312"/>
          <w:color w:val="000000"/>
          <w:kern w:val="0"/>
          <w:sz w:val="32"/>
          <w:szCs w:val="32"/>
        </w:rPr>
        <w:t>完成与之相关设备清理、废料清理、卫生清扫等工作及临时性工作。</w:t>
      </w:r>
    </w:p>
    <w:p>
      <w:pPr>
        <w:autoSpaceDE w:val="0"/>
        <w:autoSpaceDN w:val="0"/>
        <w:adjustRightInd w:val="0"/>
        <w:spacing w:line="580" w:lineRule="exact"/>
        <w:ind w:firstLine="480" w:firstLineChars="150"/>
        <w:jc w:val="left"/>
        <w:textAlignment w:val="center"/>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2、在型钢厂区域范围内，以“区域承包，自主管理”的原则，从事并按照质量管理要求完成</w:t>
      </w:r>
      <w:r>
        <w:rPr>
          <w:rFonts w:hint="eastAsia" w:ascii="仿宋_GB2312" w:hAnsi="宋体" w:eastAsia="仿宋_GB2312"/>
          <w:color w:val="000000"/>
          <w:kern w:val="0"/>
          <w:sz w:val="32"/>
          <w:szCs w:val="32"/>
          <w:lang w:eastAsia="zh-CN"/>
        </w:rPr>
        <w:t>中异型线</w:t>
      </w:r>
      <w:r>
        <w:rPr>
          <w:rFonts w:hint="eastAsia" w:ascii="仿宋_GB2312" w:hAnsi="宋体" w:eastAsia="仿宋_GB2312"/>
          <w:color w:val="000000"/>
          <w:kern w:val="0"/>
          <w:sz w:val="32"/>
          <w:szCs w:val="32"/>
          <w:lang w:val="en-US" w:eastAsia="zh-CN"/>
        </w:rPr>
        <w:t>改制区域和成品区域</w:t>
      </w:r>
      <w:r>
        <w:rPr>
          <w:rFonts w:hint="eastAsia" w:ascii="仿宋_GB2312" w:hAnsi="宋体" w:eastAsia="仿宋_GB2312"/>
          <w:color w:val="000000"/>
          <w:kern w:val="0"/>
          <w:sz w:val="32"/>
          <w:szCs w:val="32"/>
        </w:rPr>
        <w:t>钢材改制包装以及散捆钢材二次打捆等相关任务。</w:t>
      </w:r>
      <w:r>
        <w:rPr>
          <w:rFonts w:hint="eastAsia" w:ascii="仿宋_GB2312" w:hAnsi="宋体" w:eastAsia="仿宋_GB2312"/>
          <w:color w:val="000000"/>
          <w:kern w:val="0"/>
          <w:sz w:val="32"/>
          <w:szCs w:val="32"/>
          <w:lang w:eastAsia="zh-CN"/>
        </w:rPr>
        <w:t>并</w:t>
      </w:r>
      <w:r>
        <w:rPr>
          <w:rFonts w:hint="eastAsia" w:ascii="仿宋_GB2312" w:hAnsi="宋体" w:eastAsia="仿宋_GB2312"/>
          <w:color w:val="000000"/>
          <w:kern w:val="0"/>
          <w:sz w:val="32"/>
          <w:szCs w:val="32"/>
        </w:rPr>
        <w:t>完成与之相关设备清理、锯条更换、废料清理、卫生清扫等工作及临时性工作。</w:t>
      </w:r>
    </w:p>
    <w:p>
      <w:pPr>
        <w:autoSpaceDE w:val="0"/>
        <w:autoSpaceDN w:val="0"/>
        <w:adjustRightInd w:val="0"/>
        <w:spacing w:line="580" w:lineRule="exact"/>
        <w:ind w:firstLine="480" w:firstLineChars="150"/>
        <w:jc w:val="left"/>
        <w:textAlignment w:val="center"/>
        <w:rPr>
          <w:rFonts w:hint="default" w:ascii="仿宋_GB2312" w:hAnsi="宋体" w:eastAsia="仿宋_GB2312"/>
          <w:color w:val="000000"/>
          <w:kern w:val="0"/>
          <w:sz w:val="32"/>
          <w:szCs w:val="32"/>
          <w:lang w:val="en-US" w:eastAsia="zh-CN"/>
        </w:rPr>
      </w:pPr>
      <w:r>
        <w:rPr>
          <w:rFonts w:hint="eastAsia" w:ascii="仿宋_GB2312" w:hAnsi="宋体" w:eastAsia="仿宋_GB2312"/>
          <w:color w:val="000000"/>
          <w:kern w:val="0"/>
          <w:sz w:val="32"/>
          <w:szCs w:val="32"/>
          <w:lang w:val="en-US" w:eastAsia="zh-CN"/>
        </w:rPr>
        <w:t>3、中异型线钢材打捆保底90000吨/月。</w:t>
      </w:r>
    </w:p>
    <w:p>
      <w:pPr>
        <w:autoSpaceDE w:val="0"/>
        <w:autoSpaceDN w:val="0"/>
        <w:adjustRightInd w:val="0"/>
        <w:spacing w:line="580" w:lineRule="exact"/>
        <w:ind w:firstLine="480" w:firstLineChars="150"/>
        <w:jc w:val="left"/>
        <w:textAlignment w:val="center"/>
        <w:rPr>
          <w:rFonts w:hint="eastAsia" w:ascii="仿宋_GB2312" w:hAnsi="宋体" w:eastAsia="仿宋_GB2312"/>
          <w:color w:val="000000"/>
          <w:kern w:val="0"/>
          <w:sz w:val="32"/>
          <w:szCs w:val="32"/>
          <w:lang w:val="en-US" w:eastAsia="zh-CN"/>
        </w:rPr>
      </w:pPr>
      <w:r>
        <w:rPr>
          <w:rFonts w:hint="eastAsia" w:ascii="仿宋_GB2312" w:hAnsi="宋体" w:eastAsia="仿宋_GB2312"/>
          <w:color w:val="000000"/>
          <w:kern w:val="0"/>
          <w:sz w:val="32"/>
          <w:szCs w:val="32"/>
          <w:lang w:val="en-US" w:eastAsia="zh-CN"/>
        </w:rPr>
        <w:t>4、承揽方是承包业务安全生产、环境保护和综合治理的责任主体，对所承包业务的安全生产、环境保护和综合治理工作全面负责，并对未履行安全生产、环境保护和综合治理主体责任导致的后果负责。承揽方应遵守国家相关安全环保法律法规及发包方安全环保制度，双方签订《安全环保协议书》。</w:t>
      </w:r>
    </w:p>
    <w:p>
      <w:pPr>
        <w:autoSpaceDE w:val="0"/>
        <w:autoSpaceDN w:val="0"/>
        <w:adjustRightInd w:val="0"/>
        <w:spacing w:line="580" w:lineRule="exact"/>
        <w:ind w:firstLine="480" w:firstLineChars="150"/>
        <w:jc w:val="left"/>
        <w:textAlignment w:val="center"/>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lang w:val="en-US" w:eastAsia="zh-CN"/>
        </w:rPr>
        <w:t>5</w:t>
      </w:r>
      <w:r>
        <w:rPr>
          <w:rFonts w:hint="eastAsia" w:ascii="仿宋_GB2312" w:hAnsi="宋体" w:eastAsia="仿宋_GB2312"/>
          <w:color w:val="000000"/>
          <w:kern w:val="0"/>
          <w:sz w:val="32"/>
          <w:szCs w:val="32"/>
        </w:rPr>
        <w:t>、</w:t>
      </w:r>
      <w:r>
        <w:rPr>
          <w:rFonts w:hint="eastAsia" w:ascii="仿宋_GB2312" w:hAnsi="宋体" w:eastAsia="仿宋_GB2312"/>
          <w:color w:val="000000"/>
          <w:kern w:val="0"/>
          <w:sz w:val="32"/>
          <w:szCs w:val="32"/>
          <w:lang w:val="en-US" w:eastAsia="zh-CN"/>
        </w:rPr>
        <w:t>投标方自行配备打捆电焊机、焊条、砂轮机等工器具，并保证工器具合格</w:t>
      </w:r>
      <w:r>
        <w:rPr>
          <w:rFonts w:hint="eastAsia" w:ascii="仿宋_GB2312" w:hAnsi="宋体" w:eastAsia="仿宋_GB2312"/>
          <w:color w:val="000000"/>
          <w:kern w:val="0"/>
          <w:sz w:val="32"/>
          <w:szCs w:val="32"/>
        </w:rPr>
        <w:t>。</w:t>
      </w:r>
    </w:p>
    <w:p>
      <w:pPr>
        <w:autoSpaceDE w:val="0"/>
        <w:autoSpaceDN w:val="0"/>
        <w:adjustRightInd w:val="0"/>
        <w:spacing w:line="580" w:lineRule="exact"/>
        <w:ind w:firstLine="480" w:firstLineChars="150"/>
        <w:jc w:val="left"/>
        <w:textAlignment w:val="center"/>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lang w:val="en-US" w:eastAsia="zh-CN"/>
        </w:rPr>
        <w:t>6</w:t>
      </w:r>
      <w:r>
        <w:rPr>
          <w:rFonts w:hint="eastAsia" w:ascii="仿宋_GB2312" w:hAnsi="宋体" w:eastAsia="仿宋_GB2312"/>
          <w:color w:val="000000"/>
          <w:kern w:val="0"/>
          <w:sz w:val="32"/>
          <w:szCs w:val="32"/>
        </w:rPr>
        <w:t>、按吨月度结算</w:t>
      </w:r>
      <w:r>
        <w:rPr>
          <w:rFonts w:hint="eastAsia" w:ascii="仿宋_GB2312" w:hAnsi="宋体" w:eastAsia="仿宋_GB2312"/>
          <w:color w:val="000000"/>
          <w:kern w:val="0"/>
          <w:sz w:val="32"/>
          <w:szCs w:val="32"/>
          <w:lang w:eastAsia="zh-CN"/>
        </w:rPr>
        <w:t>，</w:t>
      </w:r>
      <w:r>
        <w:rPr>
          <w:rFonts w:hint="eastAsia" w:ascii="仿宋_GB2312" w:hAnsi="宋体" w:eastAsia="仿宋_GB2312"/>
          <w:color w:val="000000"/>
          <w:kern w:val="0"/>
          <w:sz w:val="32"/>
          <w:szCs w:val="32"/>
          <w:lang w:val="en-US" w:eastAsia="zh-CN"/>
        </w:rPr>
        <w:t>采用银行承兑汇票的方式进行结算。</w:t>
      </w:r>
    </w:p>
    <w:p>
      <w:pPr>
        <w:autoSpaceDE w:val="0"/>
        <w:autoSpaceDN w:val="0"/>
        <w:adjustRightInd w:val="0"/>
        <w:spacing w:line="580" w:lineRule="exact"/>
        <w:ind w:firstLine="480" w:firstLineChars="150"/>
        <w:jc w:val="left"/>
        <w:textAlignment w:val="center"/>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lang w:val="en-US" w:eastAsia="zh-CN"/>
        </w:rPr>
        <w:t>7</w:t>
      </w:r>
      <w:r>
        <w:rPr>
          <w:rFonts w:hint="eastAsia" w:ascii="仿宋_GB2312" w:hAnsi="宋体" w:eastAsia="仿宋_GB2312"/>
          <w:color w:val="000000"/>
          <w:kern w:val="0"/>
          <w:sz w:val="32"/>
          <w:szCs w:val="32"/>
        </w:rPr>
        <w:t>、涉及车辆机具的可以根据公司的环保要求及时更换符合要求的车辆机具。</w:t>
      </w:r>
    </w:p>
    <w:p>
      <w:pPr>
        <w:autoSpaceDE w:val="0"/>
        <w:autoSpaceDN w:val="0"/>
        <w:adjustRightInd w:val="0"/>
        <w:spacing w:line="580" w:lineRule="exact"/>
        <w:ind w:firstLine="480" w:firstLineChars="150"/>
        <w:jc w:val="left"/>
        <w:textAlignment w:val="center"/>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lang w:val="en-US" w:eastAsia="zh-CN"/>
        </w:rPr>
        <w:t>8、本项目执行期2026年6月1日至2027年5月31日。合同期满，经双方协商，可续签合同。招标方根据生产经营变化，有权提前终止合同。</w:t>
      </w:r>
    </w:p>
    <w:p>
      <w:pPr>
        <w:spacing w:line="560" w:lineRule="exact"/>
        <w:ind w:firstLine="570"/>
        <w:rPr>
          <w:rFonts w:ascii="黑体" w:hAnsi="黑体" w:eastAsia="黑体"/>
          <w:sz w:val="32"/>
          <w:szCs w:val="32"/>
        </w:rPr>
      </w:pPr>
      <w:r>
        <w:rPr>
          <w:rFonts w:hint="eastAsia" w:ascii="黑体" w:hAnsi="黑体" w:eastAsia="黑体"/>
          <w:sz w:val="32"/>
          <w:szCs w:val="32"/>
        </w:rPr>
        <w:t>四、</w:t>
      </w:r>
      <w:r>
        <w:rPr>
          <w:rFonts w:hint="eastAsia" w:ascii="黑体" w:hAnsi="黑体" w:eastAsia="黑体"/>
          <w:sz w:val="32"/>
          <w:szCs w:val="32"/>
          <w:lang w:val="en-US" w:eastAsia="zh-CN"/>
        </w:rPr>
        <w:t>采购</w:t>
      </w:r>
      <w:r>
        <w:rPr>
          <w:rFonts w:hint="eastAsia" w:ascii="黑体" w:hAnsi="黑体" w:eastAsia="黑体"/>
          <w:sz w:val="32"/>
          <w:szCs w:val="32"/>
        </w:rPr>
        <w:t>方式</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采取</w:t>
      </w:r>
      <w:r>
        <w:rPr>
          <w:rFonts w:hint="eastAsia" w:ascii="仿宋" w:hAnsi="仿宋" w:eastAsia="仿宋"/>
          <w:sz w:val="32"/>
          <w:szCs w:val="32"/>
        </w:rPr>
        <w:t>公开招标</w:t>
      </w:r>
      <w:r>
        <w:rPr>
          <w:rFonts w:hint="eastAsia" w:ascii="仿宋" w:hAnsi="仿宋" w:eastAsia="仿宋"/>
          <w:sz w:val="32"/>
          <w:szCs w:val="32"/>
          <w:lang w:val="en-US" w:eastAsia="zh-CN"/>
        </w:rPr>
        <w:t>的方式进行招标</w:t>
      </w:r>
      <w:r>
        <w:rPr>
          <w:rFonts w:hint="eastAsia" w:ascii="仿宋" w:hAnsi="仿宋" w:eastAsia="仿宋"/>
          <w:sz w:val="32"/>
          <w:szCs w:val="32"/>
          <w:lang w:eastAsia="zh-CN"/>
        </w:rPr>
        <w:t>，</w:t>
      </w:r>
      <w:r>
        <w:rPr>
          <w:rFonts w:hint="eastAsia" w:ascii="仿宋" w:hAnsi="仿宋" w:eastAsia="仿宋"/>
          <w:sz w:val="32"/>
          <w:szCs w:val="32"/>
          <w:lang w:val="en-US" w:eastAsia="zh-CN"/>
        </w:rPr>
        <w:t>拟招1家单位</w:t>
      </w:r>
      <w:r>
        <w:rPr>
          <w:rFonts w:hint="eastAsia" w:ascii="仿宋" w:hAnsi="仿宋" w:eastAsia="仿宋"/>
          <w:sz w:val="32"/>
          <w:szCs w:val="32"/>
        </w:rPr>
        <w:t>。</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五、投标报价要求</w:t>
      </w:r>
    </w:p>
    <w:p>
      <w:pPr>
        <w:keepNext w:val="0"/>
        <w:keepLines w:val="0"/>
        <w:pageBreakBefore w:val="0"/>
        <w:kinsoku/>
        <w:wordWrap/>
        <w:overflowPunct/>
        <w:topLinePunct w:val="0"/>
        <w:bidi w:val="0"/>
        <w:adjustRightInd w:val="0"/>
        <w:snapToGrid w:val="0"/>
        <w:spacing w:line="560" w:lineRule="exact"/>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1.投标报价均为不含税价格。</w:t>
      </w:r>
    </w:p>
    <w:p>
      <w:pPr>
        <w:keepNext w:val="0"/>
        <w:keepLines w:val="0"/>
        <w:pageBreakBefore w:val="0"/>
        <w:kinsoku/>
        <w:wordWrap/>
        <w:overflowPunct/>
        <w:topLinePunct w:val="0"/>
        <w:bidi w:val="0"/>
        <w:adjustRightInd w:val="0"/>
        <w:snapToGrid w:val="0"/>
        <w:spacing w:line="560" w:lineRule="exact"/>
        <w:ind w:firstLine="640" w:firstLineChars="200"/>
      </w:pPr>
      <w:r>
        <w:rPr>
          <w:rFonts w:hint="eastAsia" w:ascii="仿宋" w:hAnsi="仿宋" w:eastAsia="仿宋" w:cs="Times New Roman"/>
          <w:color w:val="auto"/>
          <w:sz w:val="32"/>
          <w:szCs w:val="32"/>
          <w:highlight w:val="none"/>
          <w:lang w:val="en-US" w:eastAsia="zh-CN"/>
        </w:rPr>
        <w:t>2.结算税率按照国家相关制度要求执行，如遇国家税率调整，在不含税价格基础上执行新的税率。</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六、单位资格审查条件</w:t>
      </w:r>
    </w:p>
    <w:p>
      <w:pPr>
        <w:spacing w:line="560" w:lineRule="exact"/>
        <w:ind w:firstLine="640" w:firstLineChars="200"/>
        <w:rPr>
          <w:rFonts w:hint="eastAsia" w:ascii="仿宋_GB2312" w:hAnsi="宋体" w:eastAsia="仿宋_GB2312" w:cs="Arial"/>
          <w:color w:val="auto"/>
          <w:kern w:val="0"/>
          <w:sz w:val="32"/>
          <w:szCs w:val="32"/>
        </w:rPr>
      </w:pPr>
      <w:r>
        <w:rPr>
          <w:rFonts w:hint="eastAsia" w:ascii="仿宋_GB2312" w:hAnsi="宋体" w:eastAsia="仿宋_GB2312"/>
          <w:sz w:val="32"/>
          <w:szCs w:val="32"/>
        </w:rPr>
        <w:t>（一）符合国家规定行业标准，依法取得</w:t>
      </w:r>
      <w:r>
        <w:rPr>
          <w:rFonts w:hint="eastAsia" w:ascii="仿宋_GB2312" w:hAnsi="宋体" w:eastAsia="仿宋_GB2312"/>
          <w:sz w:val="32"/>
          <w:szCs w:val="32"/>
          <w:lang w:val="en-US" w:eastAsia="zh-CN"/>
        </w:rPr>
        <w:t>营业执照，</w:t>
      </w:r>
      <w:r>
        <w:rPr>
          <w:rFonts w:hint="eastAsia" w:ascii="仿宋_GB2312" w:hAnsi="宋体" w:eastAsia="仿宋_GB2312" w:cs="Arial"/>
          <w:color w:val="auto"/>
          <w:kern w:val="0"/>
          <w:sz w:val="32"/>
          <w:szCs w:val="32"/>
          <w:lang w:val="en-US" w:eastAsia="zh-CN"/>
        </w:rPr>
        <w:t>具备劳务服务</w:t>
      </w:r>
      <w:r>
        <w:rPr>
          <w:rFonts w:hint="eastAsia" w:ascii="仿宋_GB2312" w:hAnsi="宋体" w:eastAsia="仿宋_GB2312" w:cs="Arial"/>
          <w:color w:val="auto"/>
          <w:kern w:val="0"/>
          <w:sz w:val="32"/>
          <w:szCs w:val="32"/>
        </w:rPr>
        <w:t>等相关资质。</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（二）具有一定资金基础，注册资金在</w:t>
      </w:r>
      <w:r>
        <w:rPr>
          <w:rFonts w:hint="eastAsia" w:ascii="仿宋_GB2312" w:hAnsi="宋体" w:eastAsia="仿宋_GB2312"/>
          <w:color w:val="auto"/>
          <w:sz w:val="32"/>
          <w:szCs w:val="32"/>
          <w:lang w:val="en-US" w:eastAsia="zh-CN"/>
        </w:rPr>
        <w:t>5</w:t>
      </w:r>
      <w:r>
        <w:rPr>
          <w:rFonts w:ascii="仿宋_GB2312" w:hAnsi="宋体" w:eastAsia="仿宋_GB2312"/>
          <w:color w:val="auto"/>
          <w:sz w:val="32"/>
          <w:szCs w:val="32"/>
        </w:rPr>
        <w:t>0</w:t>
      </w:r>
      <w:r>
        <w:rPr>
          <w:rFonts w:hint="eastAsia" w:ascii="仿宋_GB2312" w:hAnsi="宋体" w:eastAsia="仿宋_GB2312"/>
          <w:color w:val="auto"/>
          <w:sz w:val="32"/>
          <w:szCs w:val="32"/>
          <w:lang w:val="en-US" w:eastAsia="zh-CN"/>
        </w:rPr>
        <w:t>0</w:t>
      </w:r>
      <w:r>
        <w:rPr>
          <w:rFonts w:hint="eastAsia" w:ascii="仿宋_GB2312" w:hAnsi="宋体" w:eastAsia="仿宋_GB2312"/>
          <w:sz w:val="32"/>
          <w:szCs w:val="32"/>
        </w:rPr>
        <w:t>万元以上。</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（三）具有从事相关业务经验</w:t>
      </w:r>
      <w:r>
        <w:rPr>
          <w:rFonts w:hint="eastAsia" w:ascii="仿宋_GB2312" w:hAnsi="宋体" w:eastAsia="仿宋_GB2312"/>
          <w:color w:val="auto"/>
          <w:sz w:val="32"/>
          <w:szCs w:val="32"/>
        </w:rPr>
        <w:t>和业绩</w:t>
      </w:r>
      <w:r>
        <w:rPr>
          <w:rFonts w:hint="eastAsia" w:ascii="仿宋_GB2312" w:hAnsi="宋体" w:eastAsia="仿宋_GB2312"/>
          <w:color w:val="auto"/>
          <w:sz w:val="32"/>
          <w:szCs w:val="32"/>
          <w:lang w:eastAsia="zh-CN"/>
        </w:rPr>
        <w:t>（至少</w:t>
      </w:r>
      <w:r>
        <w:rPr>
          <w:rFonts w:hint="eastAsia" w:ascii="仿宋_GB2312" w:hAnsi="宋体" w:eastAsia="仿宋_GB2312"/>
          <w:color w:val="auto"/>
          <w:sz w:val="32"/>
          <w:szCs w:val="32"/>
          <w:lang w:val="en-US" w:eastAsia="zh-CN"/>
        </w:rPr>
        <w:t>2023年1月1日以来签订的</w:t>
      </w:r>
      <w:r>
        <w:rPr>
          <w:rFonts w:hint="eastAsia" w:ascii="仿宋_GB2312" w:hAnsi="宋体" w:eastAsia="仿宋_GB2312"/>
          <w:color w:val="auto"/>
          <w:sz w:val="32"/>
          <w:szCs w:val="32"/>
          <w:lang w:eastAsia="zh-CN"/>
        </w:rPr>
        <w:t>一份业务相关或近似的合同）</w:t>
      </w:r>
      <w:r>
        <w:rPr>
          <w:rFonts w:hint="eastAsia" w:ascii="仿宋_GB2312" w:hAnsi="宋体" w:eastAsia="仿宋_GB2312"/>
          <w:color w:val="auto"/>
          <w:sz w:val="32"/>
          <w:szCs w:val="32"/>
        </w:rPr>
        <w:t>，</w:t>
      </w:r>
      <w:r>
        <w:rPr>
          <w:rFonts w:hint="eastAsia" w:ascii="仿宋_GB2312" w:hAnsi="宋体" w:eastAsia="仿宋_GB2312"/>
          <w:sz w:val="32"/>
          <w:szCs w:val="32"/>
        </w:rPr>
        <w:t>管理、安全、服务体系健全。</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（四）具有满足相关业务需要的足量资源，能保证日常业务和应急任务开展。</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（五）具有良好的经营行为，</w:t>
      </w:r>
      <w:r>
        <w:rPr>
          <w:rFonts w:hint="eastAsia" w:ascii="仿宋_GB2312" w:hAnsi="宋体" w:eastAsia="仿宋_GB2312"/>
          <w:sz w:val="32"/>
          <w:szCs w:val="32"/>
          <w:lang w:eastAsia="zh-CN"/>
        </w:rPr>
        <w:t>不存在失信被执行、限制高消费情况，与</w:t>
      </w:r>
      <w:r>
        <w:rPr>
          <w:rFonts w:hint="eastAsia" w:ascii="仿宋_GB2312" w:hAnsi="宋体" w:eastAsia="仿宋_GB2312"/>
          <w:sz w:val="32"/>
          <w:szCs w:val="32"/>
          <w:lang w:val="en-US" w:eastAsia="zh-CN"/>
        </w:rPr>
        <w:t>招标</w:t>
      </w:r>
      <w:r>
        <w:rPr>
          <w:rFonts w:hint="eastAsia" w:ascii="仿宋_GB2312" w:hAnsi="宋体" w:eastAsia="仿宋_GB2312"/>
          <w:sz w:val="32"/>
          <w:szCs w:val="32"/>
          <w:lang w:eastAsia="zh-CN"/>
        </w:rPr>
        <w:t>方不存在纠纷诉讼行为（</w:t>
      </w:r>
      <w:r>
        <w:rPr>
          <w:rFonts w:hint="eastAsia" w:ascii="仿宋_GB2312" w:hAnsi="宋体" w:eastAsia="仿宋_GB2312"/>
          <w:sz w:val="32"/>
          <w:szCs w:val="32"/>
          <w:lang w:val="en-US" w:eastAsia="zh-CN"/>
        </w:rPr>
        <w:t>提供企查查网站查询截图</w:t>
      </w:r>
      <w:r>
        <w:rPr>
          <w:rFonts w:hint="eastAsia" w:ascii="仿宋_GB2312" w:hAnsi="宋体" w:eastAsia="仿宋_GB2312"/>
          <w:sz w:val="32"/>
          <w:szCs w:val="32"/>
          <w:lang w:eastAsia="zh-CN"/>
        </w:rPr>
        <w:t>）</w:t>
      </w:r>
      <w:r>
        <w:rPr>
          <w:rFonts w:hint="eastAsia" w:ascii="仿宋_GB2312" w:hAnsi="宋体" w:eastAsia="仿宋_GB2312"/>
          <w:sz w:val="32"/>
          <w:szCs w:val="32"/>
        </w:rPr>
        <w:t>。</w:t>
      </w:r>
    </w:p>
    <w:p>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sz w:val="32"/>
          <w:szCs w:val="32"/>
        </w:rPr>
        <w:t>（六）</w:t>
      </w:r>
      <w:r>
        <w:rPr>
          <w:rFonts w:hint="eastAsia" w:ascii="仿宋_GB2312" w:hAnsi="宋体" w:eastAsia="仿宋_GB2312"/>
          <w:kern w:val="0"/>
          <w:sz w:val="32"/>
          <w:szCs w:val="32"/>
        </w:rPr>
        <w:t>安全环保要求：对操作人员进行进入现场前的安全教育和考试，合格后方可上岗作业。</w:t>
      </w:r>
      <w:r>
        <w:rPr>
          <w:rFonts w:hint="eastAsia" w:ascii="仿宋_GB2312" w:hAnsi="宋体" w:eastAsia="仿宋_GB2312" w:cs="宋体"/>
          <w:sz w:val="32"/>
          <w:szCs w:val="32"/>
        </w:rPr>
        <w:t>在工作、运输及存放过程中，要满足国家及地方相关环保要求，不得造成二次污染。</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center"/>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报名参加投标的单位，报名时需上传</w:t>
      </w:r>
      <w:r>
        <w:rPr>
          <w:rFonts w:hint="eastAsia" w:ascii="仿宋_GB2312" w:hAnsi="宋体" w:eastAsia="仿宋_GB2312"/>
          <w:color w:val="000000"/>
          <w:kern w:val="0"/>
          <w:sz w:val="32"/>
          <w:szCs w:val="32"/>
          <w:lang w:val="en-US" w:eastAsia="zh-CN"/>
        </w:rPr>
        <w:t>PDF版</w:t>
      </w:r>
      <w:r>
        <w:rPr>
          <w:rFonts w:hint="eastAsia" w:ascii="仿宋_GB2312" w:hAnsi="宋体" w:eastAsia="仿宋_GB2312"/>
          <w:color w:val="000000"/>
          <w:kern w:val="0"/>
          <w:sz w:val="32"/>
          <w:szCs w:val="32"/>
        </w:rPr>
        <w:t>资格</w:t>
      </w:r>
      <w:r>
        <w:rPr>
          <w:rFonts w:hint="eastAsia" w:ascii="仿宋_GB2312" w:hAnsi="宋体" w:eastAsia="仿宋_GB2312"/>
          <w:color w:val="000000"/>
          <w:kern w:val="0"/>
          <w:sz w:val="32"/>
          <w:szCs w:val="32"/>
          <w:lang w:val="en-US" w:eastAsia="zh-CN"/>
        </w:rPr>
        <w:t>审查证明</w:t>
      </w:r>
      <w:r>
        <w:rPr>
          <w:rFonts w:hint="eastAsia" w:ascii="仿宋_GB2312" w:hAnsi="宋体" w:eastAsia="仿宋_GB2312"/>
          <w:color w:val="000000"/>
          <w:kern w:val="0"/>
          <w:sz w:val="32"/>
          <w:szCs w:val="32"/>
        </w:rPr>
        <w:t>文件，</w:t>
      </w:r>
      <w:r>
        <w:rPr>
          <w:rFonts w:hint="eastAsia" w:ascii="仿宋_GB2312" w:hAnsi="宋体" w:eastAsia="仿宋_GB2312"/>
          <w:color w:val="000000"/>
          <w:kern w:val="0"/>
          <w:sz w:val="32"/>
          <w:szCs w:val="32"/>
          <w:lang w:val="en-US" w:eastAsia="zh-CN"/>
        </w:rPr>
        <w:t>招标方</w:t>
      </w:r>
      <w:r>
        <w:rPr>
          <w:rFonts w:hint="eastAsia" w:ascii="仿宋_GB2312" w:hAnsi="宋体" w:eastAsia="仿宋_GB2312"/>
          <w:color w:val="000000"/>
          <w:kern w:val="0"/>
          <w:sz w:val="32"/>
          <w:szCs w:val="32"/>
        </w:rPr>
        <w:t>将根据项目情况组织联合考察，对不符合招标条件或故意弄虚作假者，取消投标资格。</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sz w:val="32"/>
          <w:szCs w:val="32"/>
        </w:rPr>
        <w:t>七、评标方法</w:t>
      </w:r>
    </w:p>
    <w:p>
      <w:pPr>
        <w:spacing w:line="580" w:lineRule="exact"/>
        <w:ind w:firstLine="640" w:firstLineChars="200"/>
        <w:rPr>
          <w:rFonts w:hint="eastAsia" w:ascii="仿宋_GB2312" w:eastAsia="仿宋_GB2312"/>
          <w:color w:val="auto"/>
          <w:sz w:val="32"/>
          <w:szCs w:val="32"/>
          <w:lang w:eastAsia="zh-CN"/>
        </w:rPr>
      </w:pPr>
      <w:r>
        <w:rPr>
          <w:rFonts w:hint="eastAsia" w:ascii="仿宋_GB2312" w:hAnsi="仿宋_GB2312" w:eastAsia="仿宋_GB2312" w:cs="仿宋_GB2312"/>
          <w:color w:val="auto"/>
          <w:sz w:val="32"/>
          <w:szCs w:val="32"/>
        </w:rPr>
        <w:t>采取综合评估法进行评标，技术占</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0分，商务占</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0分，综合排名</w:t>
      </w:r>
      <w:r>
        <w:rPr>
          <w:rFonts w:hint="eastAsia" w:ascii="仿宋_GB2312" w:hAnsi="仿宋_GB2312" w:eastAsia="仿宋_GB2312" w:cs="仿宋_GB2312"/>
          <w:color w:val="auto"/>
          <w:sz w:val="32"/>
          <w:szCs w:val="32"/>
          <w:lang w:val="en-US" w:eastAsia="zh-CN"/>
        </w:rPr>
        <w:t>第一名</w:t>
      </w:r>
      <w:r>
        <w:rPr>
          <w:rFonts w:hint="eastAsia" w:ascii="仿宋_GB2312" w:hAnsi="仿宋_GB2312" w:eastAsia="仿宋_GB2312" w:cs="仿宋_GB2312"/>
          <w:color w:val="auto"/>
          <w:sz w:val="32"/>
          <w:szCs w:val="32"/>
        </w:rPr>
        <w:t>的单位中标</w:t>
      </w:r>
      <w:r>
        <w:rPr>
          <w:rFonts w:hint="eastAsia" w:ascii="仿宋_GB2312" w:hAnsi="仿宋_GB2312" w:eastAsia="仿宋_GB2312" w:cs="仿宋_GB2312"/>
          <w:color w:val="0000FF"/>
          <w:sz w:val="32"/>
          <w:szCs w:val="32"/>
        </w:rPr>
        <w:t>。</w:t>
      </w:r>
      <w:r>
        <w:rPr>
          <w:rFonts w:hint="eastAsia" w:ascii="仿宋_GB2312" w:hAnsi="仿宋_GB2312" w:eastAsia="仿宋_GB2312" w:cs="仿宋_GB2312"/>
          <w:color w:val="auto"/>
          <w:sz w:val="32"/>
          <w:szCs w:val="32"/>
        </w:rPr>
        <w:t>如出现</w:t>
      </w:r>
      <w:r>
        <w:rPr>
          <w:rFonts w:hint="eastAsia" w:ascii="仿宋_GB2312" w:hAnsi="仿宋_GB2312" w:eastAsia="仿宋_GB2312" w:cs="仿宋_GB2312"/>
          <w:color w:val="auto"/>
          <w:sz w:val="32"/>
          <w:szCs w:val="32"/>
          <w:lang w:val="en-US" w:eastAsia="zh-CN"/>
        </w:rPr>
        <w:t>排名</w:t>
      </w:r>
      <w:r>
        <w:rPr>
          <w:rFonts w:hint="eastAsia" w:ascii="仿宋_GB2312" w:hAnsi="仿宋_GB2312" w:eastAsia="仿宋_GB2312" w:cs="仿宋_GB2312"/>
          <w:color w:val="auto"/>
          <w:sz w:val="32"/>
          <w:szCs w:val="32"/>
        </w:rPr>
        <w:t>并列情况，根据综合实力情况，经评标委员会研究决定推荐中标单位。</w:t>
      </w:r>
    </w:p>
    <w:tbl>
      <w:tblPr>
        <w:tblStyle w:val="8"/>
        <w:tblW w:w="10223" w:type="dxa"/>
        <w:jc w:val="center"/>
        <w:tblLayout w:type="autofit"/>
        <w:tblCellMar>
          <w:top w:w="0" w:type="dxa"/>
          <w:left w:w="108" w:type="dxa"/>
          <w:bottom w:w="0" w:type="dxa"/>
          <w:right w:w="108" w:type="dxa"/>
        </w:tblCellMar>
      </w:tblPr>
      <w:tblGrid>
        <w:gridCol w:w="1783"/>
        <w:gridCol w:w="8440"/>
      </w:tblGrid>
      <w:tr>
        <w:tblPrEx>
          <w:tblCellMar>
            <w:top w:w="0" w:type="dxa"/>
            <w:left w:w="108" w:type="dxa"/>
            <w:bottom w:w="0" w:type="dxa"/>
            <w:right w:w="108" w:type="dxa"/>
          </w:tblCellMar>
        </w:tblPrEx>
        <w:trPr>
          <w:trHeight w:val="631" w:hRule="atLeast"/>
          <w:jc w:val="center"/>
        </w:trPr>
        <w:tc>
          <w:tcPr>
            <w:tcW w:w="1783" w:type="dxa"/>
            <w:tcBorders>
              <w:top w:val="single" w:color="auto" w:sz="4" w:space="0"/>
              <w:left w:val="single" w:color="auto" w:sz="4" w:space="0"/>
              <w:bottom w:val="single" w:color="auto" w:sz="8" w:space="0"/>
              <w:right w:val="single" w:color="auto" w:sz="4" w:space="0"/>
            </w:tcBorders>
            <w:noWrap/>
            <w:vAlign w:val="center"/>
          </w:tcPr>
          <w:p>
            <w:pPr>
              <w:widowControl/>
              <w:spacing w:line="360" w:lineRule="exact"/>
              <w:jc w:val="center"/>
              <w:rPr>
                <w:rFonts w:ascii="仿宋_GB2312" w:hAnsi="微软雅黑" w:eastAsia="仿宋_GB2312" w:cs="宋体"/>
                <w:b/>
                <w:bCs/>
                <w:color w:val="auto"/>
                <w:kern w:val="0"/>
                <w:sz w:val="24"/>
              </w:rPr>
            </w:pPr>
            <w:r>
              <w:rPr>
                <w:rFonts w:hint="eastAsia" w:ascii="仿宋_GB2312" w:hAnsi="微软雅黑" w:eastAsia="仿宋_GB2312" w:cs="宋体"/>
                <w:b/>
                <w:bCs/>
                <w:color w:val="auto"/>
                <w:kern w:val="0"/>
                <w:sz w:val="24"/>
              </w:rPr>
              <w:t>分类</w:t>
            </w:r>
          </w:p>
        </w:tc>
        <w:tc>
          <w:tcPr>
            <w:tcW w:w="8440" w:type="dxa"/>
            <w:tcBorders>
              <w:top w:val="single" w:color="auto" w:sz="4" w:space="0"/>
              <w:left w:val="nil"/>
              <w:bottom w:val="single" w:color="auto" w:sz="8" w:space="0"/>
              <w:right w:val="single" w:color="auto" w:sz="4" w:space="0"/>
            </w:tcBorders>
            <w:noWrap w:val="0"/>
            <w:vAlign w:val="center"/>
          </w:tcPr>
          <w:p>
            <w:pPr>
              <w:widowControl/>
              <w:spacing w:line="360" w:lineRule="exact"/>
              <w:jc w:val="center"/>
              <w:rPr>
                <w:rFonts w:ascii="仿宋_GB2312" w:hAnsi="微软雅黑" w:eastAsia="仿宋_GB2312" w:cs="宋体"/>
                <w:b/>
                <w:bCs/>
                <w:color w:val="auto"/>
                <w:kern w:val="0"/>
                <w:sz w:val="24"/>
              </w:rPr>
            </w:pPr>
            <w:r>
              <w:rPr>
                <w:rFonts w:hint="eastAsia" w:ascii="仿宋_GB2312" w:hAnsi="微软雅黑" w:eastAsia="仿宋_GB2312" w:cs="宋体"/>
                <w:b/>
                <w:bCs/>
                <w:color w:val="auto"/>
                <w:kern w:val="0"/>
                <w:sz w:val="24"/>
              </w:rPr>
              <w:t>评分规则</w:t>
            </w:r>
          </w:p>
        </w:tc>
      </w:tr>
      <w:tr>
        <w:tblPrEx>
          <w:tblCellMar>
            <w:top w:w="0" w:type="dxa"/>
            <w:left w:w="108" w:type="dxa"/>
            <w:bottom w:w="0" w:type="dxa"/>
            <w:right w:w="108" w:type="dxa"/>
          </w:tblCellMar>
        </w:tblPrEx>
        <w:trPr>
          <w:trHeight w:val="631" w:hRule="atLeast"/>
          <w:jc w:val="center"/>
        </w:trPr>
        <w:tc>
          <w:tcPr>
            <w:tcW w:w="1783"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价格（</w:t>
            </w:r>
            <w:r>
              <w:rPr>
                <w:rFonts w:hint="eastAsia" w:ascii="仿宋_GB2312" w:hAnsi="微软雅黑" w:eastAsia="仿宋_GB2312" w:cs="宋体"/>
                <w:color w:val="auto"/>
                <w:kern w:val="0"/>
                <w:sz w:val="22"/>
                <w:szCs w:val="22"/>
                <w:lang w:val="en-US" w:eastAsia="zh-CN"/>
              </w:rPr>
              <w:t>7</w:t>
            </w:r>
            <w:r>
              <w:rPr>
                <w:rFonts w:hint="eastAsia" w:ascii="仿宋_GB2312" w:hAnsi="微软雅黑" w:eastAsia="仿宋_GB2312" w:cs="宋体"/>
                <w:color w:val="auto"/>
                <w:kern w:val="0"/>
                <w:sz w:val="22"/>
                <w:szCs w:val="22"/>
              </w:rPr>
              <w:t>0）</w:t>
            </w:r>
          </w:p>
        </w:tc>
        <w:tc>
          <w:tcPr>
            <w:tcW w:w="8440" w:type="dxa"/>
            <w:tcBorders>
              <w:top w:val="nil"/>
              <w:left w:val="nil"/>
              <w:bottom w:val="single" w:color="auto" w:sz="8" w:space="0"/>
              <w:right w:val="single" w:color="auto" w:sz="4" w:space="0"/>
            </w:tcBorders>
            <w:noWrap w:val="0"/>
            <w:vAlign w:val="center"/>
          </w:tcPr>
          <w:p>
            <w:pPr>
              <w:widowControl/>
              <w:spacing w:line="360" w:lineRule="exact"/>
              <w:jc w:val="left"/>
              <w:rPr>
                <w:rFonts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1、高于平均报价30%为无效投标，低于平均报价3</w:t>
            </w:r>
            <w:r>
              <w:rPr>
                <w:rFonts w:ascii="仿宋_GB2312" w:hAnsi="微软雅黑" w:eastAsia="仿宋_GB2312" w:cs="宋体"/>
                <w:color w:val="auto"/>
                <w:kern w:val="0"/>
                <w:sz w:val="22"/>
                <w:szCs w:val="22"/>
              </w:rPr>
              <w:t>0%</w:t>
            </w:r>
            <w:r>
              <w:rPr>
                <w:rFonts w:hint="eastAsia" w:ascii="仿宋_GB2312" w:hAnsi="微软雅黑" w:eastAsia="仿宋_GB2312" w:cs="宋体"/>
                <w:color w:val="auto"/>
                <w:kern w:val="0"/>
                <w:sz w:val="22"/>
                <w:szCs w:val="22"/>
              </w:rPr>
              <w:t>的，经评标委员会讨论研究，确认价格是否合理，若不合理视为无效投标。</w:t>
            </w:r>
            <w:r>
              <w:rPr>
                <w:rFonts w:hint="eastAsia" w:ascii="仿宋_GB2312" w:hAnsi="微软雅黑" w:eastAsia="仿宋_GB2312" w:cs="宋体"/>
                <w:color w:val="auto"/>
                <w:kern w:val="0"/>
                <w:sz w:val="22"/>
                <w:szCs w:val="22"/>
              </w:rPr>
              <w:br w:type="textWrapping"/>
            </w:r>
            <w:r>
              <w:rPr>
                <w:rFonts w:hint="eastAsia" w:ascii="仿宋_GB2312" w:hAnsi="微软雅黑" w:eastAsia="仿宋_GB2312" w:cs="宋体"/>
                <w:color w:val="auto"/>
                <w:kern w:val="0"/>
                <w:sz w:val="22"/>
                <w:szCs w:val="22"/>
              </w:rPr>
              <w:t>2、有效最低报价为</w:t>
            </w:r>
            <w:r>
              <w:rPr>
                <w:rFonts w:hint="eastAsia" w:ascii="仿宋_GB2312" w:hAnsi="微软雅黑" w:eastAsia="仿宋_GB2312" w:cs="宋体"/>
                <w:color w:val="auto"/>
                <w:kern w:val="0"/>
                <w:sz w:val="22"/>
                <w:szCs w:val="22"/>
                <w:lang w:val="en-US" w:eastAsia="zh-CN"/>
              </w:rPr>
              <w:t>7</w:t>
            </w:r>
            <w:r>
              <w:rPr>
                <w:rFonts w:ascii="仿宋_GB2312" w:hAnsi="微软雅黑" w:eastAsia="仿宋_GB2312" w:cs="宋体"/>
                <w:color w:val="auto"/>
                <w:kern w:val="0"/>
                <w:sz w:val="22"/>
                <w:szCs w:val="22"/>
              </w:rPr>
              <w:t>0</w:t>
            </w:r>
            <w:r>
              <w:rPr>
                <w:rFonts w:hint="eastAsia" w:ascii="仿宋_GB2312" w:hAnsi="微软雅黑" w:eastAsia="仿宋_GB2312" w:cs="宋体"/>
                <w:color w:val="auto"/>
                <w:kern w:val="0"/>
                <w:sz w:val="22"/>
                <w:szCs w:val="22"/>
              </w:rPr>
              <w:t>分，其他以有效最低报价为基准，每高于基准价</w:t>
            </w:r>
            <w:r>
              <w:rPr>
                <w:rFonts w:hint="eastAsia" w:ascii="仿宋_GB2312" w:hAnsi="微软雅黑" w:eastAsia="仿宋_GB2312" w:cs="宋体"/>
                <w:color w:val="auto"/>
                <w:kern w:val="0"/>
                <w:sz w:val="22"/>
                <w:szCs w:val="22"/>
                <w:lang w:val="en-US" w:eastAsia="zh-CN"/>
              </w:rPr>
              <w:t>2</w:t>
            </w:r>
            <w:r>
              <w:rPr>
                <w:rFonts w:hint="eastAsia" w:ascii="仿宋_GB2312" w:hAnsi="微软雅黑" w:eastAsia="仿宋_GB2312" w:cs="宋体"/>
                <w:color w:val="auto"/>
                <w:kern w:val="0"/>
                <w:sz w:val="22"/>
                <w:szCs w:val="22"/>
              </w:rPr>
              <w:t>%减1分。</w:t>
            </w:r>
          </w:p>
        </w:tc>
      </w:tr>
      <w:tr>
        <w:tblPrEx>
          <w:tblCellMar>
            <w:top w:w="0" w:type="dxa"/>
            <w:left w:w="108" w:type="dxa"/>
            <w:bottom w:w="0" w:type="dxa"/>
            <w:right w:w="108" w:type="dxa"/>
          </w:tblCellMar>
        </w:tblPrEx>
        <w:trPr>
          <w:trHeight w:val="1506" w:hRule="atLeast"/>
          <w:jc w:val="center"/>
        </w:trPr>
        <w:tc>
          <w:tcPr>
            <w:tcW w:w="178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实力业绩（</w:t>
            </w:r>
            <w:r>
              <w:rPr>
                <w:rFonts w:hint="eastAsia" w:ascii="仿宋_GB2312" w:hAnsi="微软雅黑" w:eastAsia="仿宋_GB2312" w:cs="宋体"/>
                <w:color w:val="auto"/>
                <w:kern w:val="0"/>
                <w:sz w:val="22"/>
                <w:szCs w:val="22"/>
                <w:lang w:val="en-US" w:eastAsia="zh-CN"/>
              </w:rPr>
              <w:t>10</w:t>
            </w:r>
            <w:r>
              <w:rPr>
                <w:rFonts w:hint="eastAsia" w:ascii="仿宋_GB2312" w:hAnsi="微软雅黑" w:eastAsia="仿宋_GB2312" w:cs="宋体"/>
                <w:color w:val="auto"/>
                <w:kern w:val="0"/>
                <w:sz w:val="22"/>
                <w:szCs w:val="22"/>
              </w:rPr>
              <w:t>）</w:t>
            </w:r>
          </w:p>
        </w:tc>
        <w:tc>
          <w:tcPr>
            <w:tcW w:w="844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投标单位</w:t>
            </w:r>
            <w:r>
              <w:rPr>
                <w:rFonts w:hint="eastAsia" w:ascii="仿宋_GB2312" w:hAnsi="微软雅黑" w:eastAsia="仿宋_GB2312" w:cs="宋体"/>
                <w:color w:val="auto"/>
                <w:kern w:val="0"/>
                <w:sz w:val="22"/>
                <w:szCs w:val="22"/>
                <w:lang w:val="en-US" w:eastAsia="zh-CN"/>
              </w:rPr>
              <w:t>提供与</w:t>
            </w:r>
            <w:r>
              <w:rPr>
                <w:rFonts w:hint="eastAsia" w:ascii="仿宋_GB2312" w:hAnsi="微软雅黑" w:eastAsia="仿宋_GB2312" w:cs="宋体"/>
                <w:color w:val="auto"/>
                <w:kern w:val="0"/>
                <w:sz w:val="22"/>
                <w:szCs w:val="22"/>
              </w:rPr>
              <w:t>本招标业务相似近三年</w:t>
            </w:r>
            <w:r>
              <w:rPr>
                <w:rFonts w:hint="eastAsia" w:ascii="仿宋_GB2312" w:hAnsi="微软雅黑" w:eastAsia="仿宋_GB2312" w:cs="宋体"/>
                <w:color w:val="auto"/>
                <w:kern w:val="0"/>
                <w:sz w:val="22"/>
                <w:szCs w:val="22"/>
                <w:lang w:eastAsia="zh-CN"/>
              </w:rPr>
              <w:t>（</w:t>
            </w:r>
            <w:r>
              <w:rPr>
                <w:rFonts w:hint="eastAsia" w:ascii="仿宋_GB2312" w:hAnsi="微软雅黑" w:eastAsia="仿宋_GB2312" w:cs="宋体"/>
                <w:color w:val="auto"/>
                <w:kern w:val="0"/>
                <w:sz w:val="22"/>
                <w:szCs w:val="22"/>
                <w:lang w:val="en-US" w:eastAsia="zh-CN"/>
              </w:rPr>
              <w:t>2023年1月1日以来</w:t>
            </w:r>
            <w:r>
              <w:rPr>
                <w:rFonts w:hint="eastAsia" w:ascii="仿宋_GB2312" w:hAnsi="微软雅黑" w:eastAsia="仿宋_GB2312" w:cs="宋体"/>
                <w:color w:val="auto"/>
                <w:kern w:val="0"/>
                <w:sz w:val="22"/>
                <w:szCs w:val="22"/>
                <w:lang w:eastAsia="zh-CN"/>
              </w:rPr>
              <w:t>）</w:t>
            </w:r>
            <w:r>
              <w:rPr>
                <w:rFonts w:hint="eastAsia" w:ascii="仿宋_GB2312" w:hAnsi="微软雅黑" w:eastAsia="仿宋_GB2312" w:cs="宋体"/>
                <w:color w:val="auto"/>
                <w:kern w:val="0"/>
                <w:sz w:val="22"/>
                <w:szCs w:val="22"/>
              </w:rPr>
              <w:t>的承包合同，提供合同份数</w:t>
            </w:r>
            <w:r>
              <w:rPr>
                <w:rFonts w:hint="eastAsia" w:ascii="仿宋_GB2312" w:hAnsi="微软雅黑" w:eastAsia="仿宋_GB2312" w:cs="宋体"/>
                <w:color w:val="auto"/>
                <w:kern w:val="0"/>
                <w:sz w:val="22"/>
                <w:szCs w:val="22"/>
                <w:lang w:val="en-US" w:eastAsia="zh-CN"/>
              </w:rPr>
              <w:t>5</w:t>
            </w:r>
            <w:r>
              <w:rPr>
                <w:rFonts w:hint="eastAsia" w:ascii="仿宋_GB2312" w:hAnsi="微软雅黑" w:eastAsia="仿宋_GB2312" w:cs="宋体"/>
                <w:color w:val="auto"/>
                <w:kern w:val="0"/>
                <w:sz w:val="22"/>
                <w:szCs w:val="22"/>
              </w:rPr>
              <w:t>份以上的（含</w:t>
            </w:r>
            <w:r>
              <w:rPr>
                <w:rFonts w:hint="eastAsia" w:ascii="仿宋_GB2312" w:hAnsi="微软雅黑" w:eastAsia="仿宋_GB2312" w:cs="宋体"/>
                <w:color w:val="auto"/>
                <w:kern w:val="0"/>
                <w:sz w:val="22"/>
                <w:szCs w:val="22"/>
                <w:lang w:val="en-US" w:eastAsia="zh-CN"/>
              </w:rPr>
              <w:t>5</w:t>
            </w:r>
            <w:r>
              <w:rPr>
                <w:rFonts w:hint="eastAsia" w:ascii="仿宋_GB2312" w:hAnsi="微软雅黑" w:eastAsia="仿宋_GB2312" w:cs="宋体"/>
                <w:color w:val="auto"/>
                <w:kern w:val="0"/>
                <w:sz w:val="22"/>
                <w:szCs w:val="22"/>
              </w:rPr>
              <w:t>份）得</w:t>
            </w:r>
            <w:r>
              <w:rPr>
                <w:rFonts w:ascii="仿宋_GB2312" w:hAnsi="微软雅黑" w:eastAsia="仿宋_GB2312" w:cs="宋体"/>
                <w:color w:val="auto"/>
                <w:kern w:val="0"/>
                <w:sz w:val="22"/>
                <w:szCs w:val="22"/>
              </w:rPr>
              <w:t>5</w:t>
            </w:r>
            <w:r>
              <w:rPr>
                <w:rFonts w:hint="eastAsia" w:ascii="仿宋_GB2312" w:hAnsi="微软雅黑" w:eastAsia="仿宋_GB2312" w:cs="宋体"/>
                <w:color w:val="auto"/>
                <w:kern w:val="0"/>
                <w:sz w:val="22"/>
                <w:szCs w:val="22"/>
              </w:rPr>
              <w:t>分，</w:t>
            </w:r>
            <w:r>
              <w:rPr>
                <w:rFonts w:hint="eastAsia" w:ascii="仿宋_GB2312" w:hAnsi="微软雅黑" w:eastAsia="仿宋_GB2312" w:cs="宋体"/>
                <w:color w:val="auto"/>
                <w:kern w:val="0"/>
                <w:sz w:val="22"/>
                <w:szCs w:val="22"/>
                <w:lang w:val="en-US" w:eastAsia="zh-CN"/>
              </w:rPr>
              <w:t>3份以上（含3份）5份以下</w:t>
            </w:r>
            <w:r>
              <w:rPr>
                <w:rFonts w:hint="eastAsia" w:ascii="仿宋_GB2312" w:hAnsi="微软雅黑" w:eastAsia="仿宋_GB2312" w:cs="宋体"/>
                <w:color w:val="auto"/>
                <w:kern w:val="0"/>
                <w:sz w:val="22"/>
                <w:szCs w:val="22"/>
              </w:rPr>
              <w:t>的得</w:t>
            </w:r>
            <w:r>
              <w:rPr>
                <w:rFonts w:ascii="仿宋_GB2312" w:hAnsi="微软雅黑" w:eastAsia="仿宋_GB2312" w:cs="宋体"/>
                <w:color w:val="auto"/>
                <w:kern w:val="0"/>
                <w:sz w:val="22"/>
                <w:szCs w:val="22"/>
              </w:rPr>
              <w:t>3</w:t>
            </w:r>
            <w:r>
              <w:rPr>
                <w:rFonts w:hint="eastAsia" w:ascii="仿宋_GB2312" w:hAnsi="微软雅黑" w:eastAsia="仿宋_GB2312" w:cs="宋体"/>
                <w:color w:val="auto"/>
                <w:kern w:val="0"/>
                <w:sz w:val="22"/>
                <w:szCs w:val="22"/>
              </w:rPr>
              <w:t>分，1份</w:t>
            </w:r>
            <w:r>
              <w:rPr>
                <w:rFonts w:hint="eastAsia" w:ascii="仿宋_GB2312" w:hAnsi="微软雅黑" w:eastAsia="仿宋_GB2312" w:cs="宋体"/>
                <w:color w:val="auto"/>
                <w:kern w:val="0"/>
                <w:sz w:val="22"/>
                <w:szCs w:val="22"/>
                <w:lang w:val="en-US" w:eastAsia="zh-CN"/>
              </w:rPr>
              <w:t>以上（含1份）3份以下</w:t>
            </w:r>
            <w:r>
              <w:rPr>
                <w:rFonts w:hint="eastAsia" w:ascii="仿宋_GB2312" w:hAnsi="微软雅黑" w:eastAsia="仿宋_GB2312" w:cs="宋体"/>
                <w:color w:val="auto"/>
                <w:kern w:val="0"/>
                <w:sz w:val="22"/>
                <w:szCs w:val="22"/>
              </w:rPr>
              <w:t>的得1分</w:t>
            </w:r>
            <w:r>
              <w:rPr>
                <w:rFonts w:hint="eastAsia" w:ascii="仿宋_GB2312" w:hAnsi="微软雅黑" w:eastAsia="仿宋_GB2312" w:cs="宋体"/>
                <w:color w:val="auto"/>
                <w:kern w:val="0"/>
                <w:sz w:val="22"/>
                <w:szCs w:val="22"/>
                <w:lang w:eastAsia="zh-CN"/>
              </w:rPr>
              <w:t>，</w:t>
            </w:r>
            <w:r>
              <w:rPr>
                <w:rFonts w:hint="eastAsia" w:ascii="仿宋_GB2312" w:hAnsi="微软雅黑" w:eastAsia="仿宋_GB2312" w:cs="宋体"/>
                <w:color w:val="auto"/>
                <w:kern w:val="0"/>
                <w:sz w:val="22"/>
                <w:szCs w:val="22"/>
                <w:lang w:val="en-US" w:eastAsia="zh-CN"/>
              </w:rPr>
              <w:t>未提供的不得分</w:t>
            </w:r>
            <w:r>
              <w:rPr>
                <w:rFonts w:hint="eastAsia" w:ascii="仿宋_GB2312" w:hAnsi="微软雅黑" w:eastAsia="仿宋_GB2312" w:cs="宋体"/>
                <w:color w:val="auto"/>
                <w:kern w:val="0"/>
                <w:sz w:val="22"/>
                <w:szCs w:val="22"/>
              </w:rPr>
              <w:t>。</w:t>
            </w:r>
          </w:p>
        </w:tc>
      </w:tr>
      <w:tr>
        <w:tblPrEx>
          <w:tblCellMar>
            <w:top w:w="0" w:type="dxa"/>
            <w:left w:w="108" w:type="dxa"/>
            <w:bottom w:w="0" w:type="dxa"/>
            <w:right w:w="108" w:type="dxa"/>
          </w:tblCellMar>
        </w:tblPrEx>
        <w:trPr>
          <w:trHeight w:val="631" w:hRule="atLeast"/>
          <w:jc w:val="center"/>
        </w:trPr>
        <w:tc>
          <w:tcPr>
            <w:tcW w:w="178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微软雅黑" w:eastAsia="仿宋_GB2312" w:cs="宋体"/>
                <w:color w:val="auto"/>
                <w:kern w:val="0"/>
                <w:sz w:val="22"/>
                <w:szCs w:val="22"/>
              </w:rPr>
            </w:pPr>
          </w:p>
        </w:tc>
        <w:tc>
          <w:tcPr>
            <w:tcW w:w="844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以“企查查”（www.qichacha.com）网站查询结果为依据：</w:t>
            </w:r>
            <w:r>
              <w:rPr>
                <w:rFonts w:hint="eastAsia" w:ascii="仿宋_GB2312" w:hAnsi="微软雅黑" w:eastAsia="仿宋_GB2312" w:cs="宋体"/>
                <w:color w:val="auto"/>
                <w:kern w:val="0"/>
                <w:sz w:val="22"/>
                <w:szCs w:val="22"/>
                <w:highlight w:val="none"/>
              </w:rPr>
              <w:t>“法律诉讼”项下“被执行人”每条扣</w:t>
            </w:r>
            <w:r>
              <w:rPr>
                <w:rFonts w:hint="eastAsia" w:ascii="仿宋_GB2312" w:hAnsi="微软雅黑" w:eastAsia="仿宋_GB2312" w:cs="宋体"/>
                <w:color w:val="auto"/>
                <w:kern w:val="0"/>
                <w:sz w:val="22"/>
                <w:szCs w:val="22"/>
                <w:highlight w:val="none"/>
                <w:lang w:val="en-US" w:eastAsia="zh-CN"/>
              </w:rPr>
              <w:t>1</w:t>
            </w:r>
            <w:r>
              <w:rPr>
                <w:rFonts w:hint="eastAsia" w:ascii="仿宋_GB2312" w:hAnsi="微软雅黑" w:eastAsia="仿宋_GB2312" w:cs="宋体"/>
                <w:color w:val="auto"/>
                <w:kern w:val="0"/>
                <w:sz w:val="22"/>
                <w:szCs w:val="22"/>
                <w:highlight w:val="none"/>
              </w:rPr>
              <w:t>分，合</w:t>
            </w:r>
            <w:r>
              <w:rPr>
                <w:rFonts w:hint="eastAsia" w:ascii="仿宋_GB2312" w:hAnsi="微软雅黑" w:eastAsia="仿宋_GB2312" w:cs="宋体"/>
                <w:color w:val="auto"/>
                <w:kern w:val="0"/>
                <w:sz w:val="22"/>
                <w:szCs w:val="22"/>
              </w:rPr>
              <w:t>计最高扣5分，得分0-5分。</w:t>
            </w:r>
          </w:p>
        </w:tc>
      </w:tr>
      <w:tr>
        <w:tblPrEx>
          <w:tblCellMar>
            <w:top w:w="0" w:type="dxa"/>
            <w:left w:w="108" w:type="dxa"/>
            <w:bottom w:w="0" w:type="dxa"/>
            <w:right w:w="108" w:type="dxa"/>
          </w:tblCellMar>
        </w:tblPrEx>
        <w:trPr>
          <w:trHeight w:val="631" w:hRule="atLeast"/>
          <w:jc w:val="center"/>
        </w:trPr>
        <w:tc>
          <w:tcPr>
            <w:tcW w:w="178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服务保障（20）</w:t>
            </w:r>
          </w:p>
        </w:tc>
        <w:tc>
          <w:tcPr>
            <w:tcW w:w="844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对该业务有较为详实的了解，熟悉业务流程，能够根据业务特性制定相应的</w:t>
            </w:r>
            <w:r>
              <w:rPr>
                <w:rFonts w:hint="eastAsia" w:ascii="仿宋_GB2312" w:hAnsi="微软雅黑" w:eastAsia="仿宋_GB2312" w:cs="宋体"/>
                <w:color w:val="auto"/>
                <w:kern w:val="0"/>
                <w:sz w:val="22"/>
                <w:szCs w:val="22"/>
                <w:lang w:val="en-US" w:eastAsia="zh-CN"/>
              </w:rPr>
              <w:t>工作</w:t>
            </w:r>
            <w:r>
              <w:rPr>
                <w:rFonts w:hint="eastAsia" w:ascii="仿宋_GB2312" w:hAnsi="微软雅黑" w:eastAsia="仿宋_GB2312" w:cs="宋体"/>
                <w:color w:val="auto"/>
                <w:kern w:val="0"/>
                <w:sz w:val="22"/>
                <w:szCs w:val="22"/>
              </w:rPr>
              <w:t>方案。所编制</w:t>
            </w:r>
            <w:r>
              <w:rPr>
                <w:rFonts w:hint="eastAsia" w:ascii="仿宋_GB2312" w:hAnsi="微软雅黑" w:eastAsia="仿宋_GB2312" w:cs="宋体"/>
                <w:color w:val="auto"/>
                <w:kern w:val="0"/>
                <w:sz w:val="22"/>
                <w:szCs w:val="22"/>
                <w:lang w:val="en-US" w:eastAsia="zh-CN"/>
              </w:rPr>
              <w:t>工作</w:t>
            </w:r>
            <w:r>
              <w:rPr>
                <w:rFonts w:hint="eastAsia" w:ascii="仿宋_GB2312" w:hAnsi="微软雅黑" w:eastAsia="仿宋_GB2312" w:cs="宋体"/>
                <w:color w:val="auto"/>
                <w:kern w:val="0"/>
                <w:sz w:val="22"/>
                <w:szCs w:val="22"/>
              </w:rPr>
              <w:t>方案针对性强，内容全面的得分10-15分；针对性不强，内容较全面的得5-10分；无针对性，内容欠缺的得1-5分。</w:t>
            </w:r>
          </w:p>
        </w:tc>
      </w:tr>
      <w:tr>
        <w:tblPrEx>
          <w:tblCellMar>
            <w:top w:w="0" w:type="dxa"/>
            <w:left w:w="108" w:type="dxa"/>
            <w:bottom w:w="0" w:type="dxa"/>
            <w:right w:w="108" w:type="dxa"/>
          </w:tblCellMar>
        </w:tblPrEx>
        <w:trPr>
          <w:trHeight w:val="63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微软雅黑" w:eastAsia="仿宋_GB2312" w:cs="宋体"/>
                <w:color w:val="auto"/>
                <w:kern w:val="0"/>
                <w:sz w:val="22"/>
                <w:szCs w:val="22"/>
              </w:rPr>
            </w:pPr>
          </w:p>
        </w:tc>
        <w:tc>
          <w:tcPr>
            <w:tcW w:w="8440" w:type="dxa"/>
            <w:tcBorders>
              <w:top w:val="nil"/>
              <w:left w:val="nil"/>
              <w:bottom w:val="single" w:color="auto" w:sz="4" w:space="0"/>
              <w:right w:val="single" w:color="auto" w:sz="4" w:space="0"/>
            </w:tcBorders>
            <w:noWrap w:val="0"/>
            <w:vAlign w:val="center"/>
          </w:tcPr>
          <w:p>
            <w:pPr>
              <w:widowControl/>
              <w:spacing w:line="360" w:lineRule="exact"/>
              <w:jc w:val="left"/>
              <w:rPr>
                <w:rFonts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提供</w:t>
            </w:r>
            <w:r>
              <w:rPr>
                <w:rFonts w:hint="eastAsia" w:ascii="仿宋_GB2312" w:hAnsi="微软雅黑" w:eastAsia="仿宋_GB2312" w:cs="宋体"/>
                <w:color w:val="auto"/>
                <w:kern w:val="0"/>
                <w:sz w:val="22"/>
                <w:szCs w:val="22"/>
                <w:lang w:val="en-US" w:eastAsia="zh-CN"/>
              </w:rPr>
              <w:t>较为详实的安全管理规章制度，并配备安全管理专职人员，编制内容全面的得分4-5分，内容较为全面的得分2-3分，内容不全面的得分1分，未提供的不得分。</w:t>
            </w:r>
          </w:p>
        </w:tc>
      </w:tr>
    </w:tbl>
    <w:p>
      <w:pPr>
        <w:spacing w:line="580" w:lineRule="exact"/>
        <w:ind w:firstLine="640" w:firstLineChars="200"/>
        <w:rPr>
          <w:rFonts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、联系方式</w:t>
      </w:r>
    </w:p>
    <w:p>
      <w:pPr>
        <w:spacing w:line="580" w:lineRule="exact"/>
        <w:ind w:firstLine="680" w:firstLineChars="200"/>
        <w:rPr>
          <w:rFonts w:ascii="仿宋_GB2312" w:hAnsi="宋体" w:eastAsia="仿宋_GB2312"/>
          <w:color w:val="000000"/>
          <w:spacing w:val="10"/>
          <w:kern w:val="0"/>
          <w:sz w:val="32"/>
          <w:szCs w:val="32"/>
        </w:rPr>
      </w:pPr>
      <w:r>
        <w:rPr>
          <w:rFonts w:hint="eastAsia" w:ascii="仿宋_GB2312" w:hAnsi="宋体" w:eastAsia="仿宋_GB2312"/>
          <w:color w:val="000000"/>
          <w:spacing w:val="10"/>
          <w:kern w:val="0"/>
          <w:sz w:val="32"/>
          <w:szCs w:val="32"/>
        </w:rPr>
        <w:t xml:space="preserve">招标中心 </w:t>
      </w:r>
      <w:r>
        <w:rPr>
          <w:rFonts w:ascii="仿宋_GB2312" w:hAnsi="宋体" w:eastAsia="仿宋_GB2312"/>
          <w:color w:val="000000"/>
          <w:spacing w:val="10"/>
          <w:kern w:val="0"/>
          <w:sz w:val="32"/>
          <w:szCs w:val="32"/>
        </w:rPr>
        <w:t xml:space="preserve">  </w:t>
      </w:r>
      <w:r>
        <w:rPr>
          <w:rFonts w:hint="eastAsia" w:ascii="仿宋_GB2312" w:hAnsi="宋体" w:eastAsia="仿宋_GB2312"/>
          <w:color w:val="000000"/>
          <w:spacing w:val="10"/>
          <w:kern w:val="0"/>
          <w:sz w:val="32"/>
          <w:szCs w:val="32"/>
        </w:rPr>
        <w:t>李</w:t>
      </w:r>
      <w:r>
        <w:rPr>
          <w:rFonts w:ascii="仿宋_GB2312" w:hAnsi="宋体" w:eastAsia="仿宋_GB2312"/>
          <w:color w:val="000000"/>
          <w:spacing w:val="10"/>
          <w:kern w:val="0"/>
          <w:sz w:val="32"/>
          <w:szCs w:val="32"/>
        </w:rPr>
        <w:t>先生</w:t>
      </w:r>
      <w:r>
        <w:rPr>
          <w:rFonts w:hint="eastAsia" w:ascii="仿宋_GB2312" w:hAnsi="宋体" w:eastAsia="仿宋_GB2312"/>
          <w:color w:val="000000"/>
          <w:spacing w:val="10"/>
          <w:kern w:val="0"/>
          <w:sz w:val="32"/>
          <w:szCs w:val="32"/>
        </w:rPr>
        <w:t>0</w:t>
      </w:r>
      <w:r>
        <w:rPr>
          <w:rFonts w:ascii="仿宋_GB2312" w:hAnsi="宋体" w:eastAsia="仿宋_GB2312"/>
          <w:color w:val="000000"/>
          <w:spacing w:val="10"/>
          <w:kern w:val="0"/>
          <w:sz w:val="32"/>
          <w:szCs w:val="32"/>
        </w:rPr>
        <w:t>531-76923197</w:t>
      </w:r>
      <w:r>
        <w:rPr>
          <w:rFonts w:hint="eastAsia" w:ascii="仿宋_GB2312" w:hAnsi="宋体" w:eastAsia="仿宋_GB2312"/>
          <w:color w:val="000000"/>
          <w:spacing w:val="10"/>
          <w:kern w:val="0"/>
          <w:sz w:val="32"/>
          <w:szCs w:val="32"/>
        </w:rPr>
        <w:t xml:space="preserve">  </w:t>
      </w:r>
    </w:p>
    <w:p>
      <w:pPr>
        <w:spacing w:line="580" w:lineRule="exact"/>
        <w:ind w:firstLine="680" w:firstLineChars="200"/>
        <w:rPr>
          <w:rFonts w:hint="default" w:ascii="仿宋_GB2312" w:hAnsi="宋体" w:eastAsia="仿宋_GB2312"/>
          <w:sz w:val="32"/>
          <w:szCs w:val="32"/>
          <w:lang w:val="en-US" w:eastAsia="zh-CN"/>
        </w:rPr>
      </w:pPr>
      <w:r>
        <w:rPr>
          <w:rFonts w:hint="eastAsia" w:ascii="仿宋_GB2312" w:hAnsi="宋体" w:eastAsia="仿宋_GB2312"/>
          <w:color w:val="000000"/>
          <w:spacing w:val="10"/>
          <w:kern w:val="0"/>
          <w:sz w:val="32"/>
          <w:szCs w:val="32"/>
          <w:lang w:eastAsia="zh-CN"/>
        </w:rPr>
        <w:t>制造</w:t>
      </w:r>
      <w:r>
        <w:rPr>
          <w:rFonts w:hint="eastAsia" w:ascii="仿宋_GB2312" w:hAnsi="宋体" w:eastAsia="仿宋_GB2312"/>
          <w:color w:val="000000"/>
          <w:spacing w:val="10"/>
          <w:kern w:val="0"/>
          <w:sz w:val="32"/>
          <w:szCs w:val="32"/>
        </w:rPr>
        <w:t xml:space="preserve">管理部 </w:t>
      </w:r>
      <w:r>
        <w:rPr>
          <w:rFonts w:hint="eastAsia" w:ascii="仿宋_GB2312" w:hAnsi="宋体" w:eastAsia="仿宋_GB2312"/>
          <w:color w:val="000000"/>
          <w:spacing w:val="10"/>
          <w:kern w:val="0"/>
          <w:sz w:val="32"/>
          <w:szCs w:val="32"/>
          <w:lang w:val="en-US" w:eastAsia="zh-CN"/>
        </w:rPr>
        <w:t>王</w:t>
      </w:r>
      <w:r>
        <w:rPr>
          <w:rFonts w:hint="eastAsia" w:ascii="仿宋_GB2312" w:hAnsi="宋体" w:eastAsia="仿宋_GB2312"/>
          <w:color w:val="000000"/>
          <w:spacing w:val="10"/>
          <w:kern w:val="0"/>
          <w:sz w:val="32"/>
          <w:szCs w:val="32"/>
        </w:rPr>
        <w:t>先生0</w:t>
      </w:r>
      <w:r>
        <w:rPr>
          <w:rFonts w:ascii="仿宋_GB2312" w:hAnsi="宋体" w:eastAsia="仿宋_GB2312"/>
          <w:color w:val="000000"/>
          <w:spacing w:val="10"/>
          <w:kern w:val="0"/>
          <w:sz w:val="32"/>
          <w:szCs w:val="32"/>
        </w:rPr>
        <w:t>531-</w:t>
      </w:r>
      <w:r>
        <w:rPr>
          <w:rFonts w:hint="eastAsia" w:ascii="仿宋_GB2312" w:hAnsi="宋体" w:eastAsia="仿宋_GB2312"/>
          <w:color w:val="000000"/>
          <w:spacing w:val="10"/>
          <w:kern w:val="0"/>
          <w:sz w:val="32"/>
          <w:szCs w:val="32"/>
          <w:lang w:val="en-US" w:eastAsia="zh-CN"/>
        </w:rPr>
        <w:t>77920308</w:t>
      </w:r>
    </w:p>
    <w:p>
      <w:pPr>
        <w:spacing w:line="580" w:lineRule="exact"/>
        <w:ind w:firstLine="640" w:firstLineChars="200"/>
        <w:rPr>
          <w:rFonts w:ascii="黑体" w:hAnsi="黑体" w:eastAsia="黑体"/>
          <w:sz w:val="32"/>
          <w:szCs w:val="32"/>
        </w:rPr>
      </w:pPr>
      <w:r>
        <w:rPr>
          <w:rFonts w:hint="eastAsia" w:ascii="黑体" w:hAnsi="黑体" w:eastAsia="黑体"/>
          <w:sz w:val="32"/>
          <w:szCs w:val="32"/>
          <w:lang w:val="en-US" w:eastAsia="zh-CN"/>
        </w:rPr>
        <w:t>九</w:t>
      </w:r>
      <w:r>
        <w:rPr>
          <w:rFonts w:hint="eastAsia" w:ascii="黑体" w:hAnsi="黑体" w:eastAsia="黑体"/>
          <w:sz w:val="32"/>
          <w:szCs w:val="32"/>
        </w:rPr>
        <w:t>、投标运作步骤</w:t>
      </w:r>
    </w:p>
    <w:p>
      <w:pPr>
        <w:autoSpaceDE w:val="0"/>
        <w:autoSpaceDN w:val="0"/>
        <w:adjustRightInd w:val="0"/>
        <w:spacing w:line="560" w:lineRule="exact"/>
        <w:ind w:firstLine="640" w:firstLineChars="200"/>
        <w:jc w:val="both"/>
        <w:textAlignment w:val="center"/>
        <w:rPr>
          <w:rFonts w:hint="eastAsia" w:ascii="仿宋_GB2312" w:hAnsi="宋体" w:eastAsia="仿宋_GB2312"/>
          <w:color w:val="auto"/>
          <w:sz w:val="32"/>
          <w:szCs w:val="32"/>
        </w:rPr>
      </w:pPr>
      <w:r>
        <w:rPr>
          <w:rFonts w:hint="eastAsia" w:ascii="仿宋_GB2312" w:hAnsi="宋体" w:eastAsia="仿宋_GB2312"/>
          <w:sz w:val="32"/>
          <w:szCs w:val="32"/>
        </w:rPr>
        <w:t>（一）</w:t>
      </w:r>
      <w:r>
        <w:rPr>
          <w:rFonts w:hint="eastAsia" w:ascii="仿宋_GB2312" w:hAnsi="宋体" w:eastAsia="仿宋_GB2312"/>
          <w:sz w:val="32"/>
          <w:szCs w:val="32"/>
          <w:lang w:eastAsia="zh-CN"/>
        </w:rPr>
        <w:t>报名截止</w:t>
      </w:r>
      <w:r>
        <w:rPr>
          <w:rFonts w:hint="eastAsia" w:ascii="仿宋_GB2312" w:hAnsi="宋体" w:eastAsia="仿宋_GB2312"/>
          <w:sz w:val="32"/>
          <w:szCs w:val="32"/>
        </w:rPr>
        <w:t>时间</w:t>
      </w:r>
      <w:r>
        <w:rPr>
          <w:rFonts w:hint="eastAsia" w:ascii="仿宋_GB2312" w:hAnsi="宋体" w:eastAsia="仿宋_GB2312"/>
          <w:sz w:val="32"/>
          <w:szCs w:val="32"/>
          <w:lang w:eastAsia="zh-CN"/>
        </w:rPr>
        <w:t>及报价截止时间按照投标</w:t>
      </w:r>
      <w:r>
        <w:rPr>
          <w:rFonts w:hint="eastAsia" w:ascii="仿宋_GB2312" w:hAnsi="宋体" w:eastAsia="仿宋_GB2312"/>
          <w:color w:val="auto"/>
          <w:sz w:val="32"/>
          <w:szCs w:val="32"/>
          <w:lang w:eastAsia="zh-CN"/>
        </w:rPr>
        <w:t>网站</w:t>
      </w:r>
      <w:r>
        <w:rPr>
          <w:rFonts w:ascii="仿宋_GB2312" w:hAnsi="宋体" w:eastAsia="仿宋_GB2312" w:cs="仿宋_GB2312"/>
          <w:color w:val="000000"/>
          <w:kern w:val="0"/>
          <w:sz w:val="31"/>
          <w:szCs w:val="31"/>
          <w:lang w:val="en-US" w:eastAsia="zh-CN" w:bidi="ar"/>
        </w:rPr>
        <w:t>bams.shansteelgroup.com</w:t>
      </w:r>
      <w:r>
        <w:rPr>
          <w:rFonts w:hint="eastAsia" w:ascii="仿宋_GB2312" w:hAnsi="宋体" w:eastAsia="仿宋_GB2312"/>
          <w:color w:val="auto"/>
          <w:sz w:val="32"/>
          <w:szCs w:val="32"/>
          <w:lang w:val="en-US" w:eastAsia="zh-CN"/>
        </w:rPr>
        <w:t>项目设定执行</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过期者视为自动放弃。</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二</w:t>
      </w:r>
      <w:r>
        <w:rPr>
          <w:rFonts w:hint="eastAsia" w:ascii="仿宋_GB2312" w:hAnsi="宋体" w:eastAsia="仿宋_GB2312"/>
          <w:sz w:val="32"/>
          <w:szCs w:val="32"/>
        </w:rPr>
        <w:t>）投标过程</w:t>
      </w:r>
      <w:r>
        <w:rPr>
          <w:rFonts w:hint="eastAsia" w:ascii="仿宋_GB2312" w:hAnsi="宋体" w:eastAsia="仿宋_GB2312"/>
          <w:sz w:val="32"/>
          <w:szCs w:val="32"/>
          <w:lang w:eastAsia="zh-CN"/>
        </w:rPr>
        <w:t>严格执行国家相关招标法律法规</w:t>
      </w:r>
      <w:r>
        <w:rPr>
          <w:rFonts w:hint="eastAsia" w:ascii="仿宋_GB2312" w:hAnsi="宋体" w:eastAsia="仿宋_GB2312"/>
          <w:sz w:val="32"/>
          <w:szCs w:val="32"/>
        </w:rPr>
        <w:t>。</w:t>
      </w:r>
    </w:p>
    <w:p>
      <w:pPr>
        <w:spacing w:line="580" w:lineRule="exact"/>
        <w:ind w:firstLine="640" w:firstLineChars="200"/>
        <w:rPr>
          <w:rFonts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、联系方式</w:t>
      </w:r>
    </w:p>
    <w:p>
      <w:pPr>
        <w:spacing w:line="580" w:lineRule="exact"/>
        <w:ind w:firstLine="680" w:firstLineChars="200"/>
        <w:rPr>
          <w:rFonts w:ascii="仿宋_GB2312" w:hAnsi="宋体" w:eastAsia="仿宋_GB2312"/>
          <w:color w:val="000000"/>
          <w:spacing w:val="10"/>
          <w:kern w:val="0"/>
          <w:sz w:val="32"/>
          <w:szCs w:val="32"/>
        </w:rPr>
      </w:pPr>
      <w:r>
        <w:rPr>
          <w:rFonts w:hint="eastAsia" w:ascii="仿宋_GB2312" w:hAnsi="宋体" w:eastAsia="仿宋_GB2312"/>
          <w:color w:val="000000"/>
          <w:spacing w:val="10"/>
          <w:kern w:val="0"/>
          <w:sz w:val="32"/>
          <w:szCs w:val="32"/>
        </w:rPr>
        <w:t xml:space="preserve">招标中心 </w:t>
      </w:r>
      <w:r>
        <w:rPr>
          <w:rFonts w:ascii="仿宋_GB2312" w:hAnsi="宋体" w:eastAsia="仿宋_GB2312"/>
          <w:color w:val="000000"/>
          <w:spacing w:val="10"/>
          <w:kern w:val="0"/>
          <w:sz w:val="32"/>
          <w:szCs w:val="32"/>
        </w:rPr>
        <w:t xml:space="preserve">  </w:t>
      </w:r>
      <w:r>
        <w:rPr>
          <w:rFonts w:hint="eastAsia" w:ascii="仿宋_GB2312" w:hAnsi="宋体" w:eastAsia="仿宋_GB2312"/>
          <w:color w:val="000000"/>
          <w:spacing w:val="10"/>
          <w:kern w:val="0"/>
          <w:sz w:val="32"/>
          <w:szCs w:val="32"/>
        </w:rPr>
        <w:t>李</w:t>
      </w:r>
      <w:r>
        <w:rPr>
          <w:rFonts w:ascii="仿宋_GB2312" w:hAnsi="宋体" w:eastAsia="仿宋_GB2312"/>
          <w:color w:val="000000"/>
          <w:spacing w:val="10"/>
          <w:kern w:val="0"/>
          <w:sz w:val="32"/>
          <w:szCs w:val="32"/>
        </w:rPr>
        <w:t>先生</w:t>
      </w:r>
      <w:r>
        <w:rPr>
          <w:rFonts w:hint="eastAsia" w:ascii="仿宋_GB2312" w:hAnsi="宋体" w:eastAsia="仿宋_GB2312"/>
          <w:color w:val="000000"/>
          <w:spacing w:val="10"/>
          <w:kern w:val="0"/>
          <w:sz w:val="32"/>
          <w:szCs w:val="32"/>
        </w:rPr>
        <w:t>0</w:t>
      </w:r>
      <w:r>
        <w:rPr>
          <w:rFonts w:ascii="仿宋_GB2312" w:hAnsi="宋体" w:eastAsia="仿宋_GB2312"/>
          <w:color w:val="000000"/>
          <w:spacing w:val="10"/>
          <w:kern w:val="0"/>
          <w:sz w:val="32"/>
          <w:szCs w:val="32"/>
        </w:rPr>
        <w:t>531-76923197</w:t>
      </w:r>
      <w:r>
        <w:rPr>
          <w:rFonts w:hint="eastAsia" w:ascii="仿宋_GB2312" w:hAnsi="宋体" w:eastAsia="仿宋_GB2312"/>
          <w:color w:val="000000"/>
          <w:spacing w:val="10"/>
          <w:kern w:val="0"/>
          <w:sz w:val="32"/>
          <w:szCs w:val="32"/>
        </w:rPr>
        <w:t xml:space="preserve">  </w:t>
      </w:r>
    </w:p>
    <w:p>
      <w:pPr>
        <w:spacing w:line="580" w:lineRule="exact"/>
        <w:ind w:firstLine="680" w:firstLineChars="200"/>
        <w:rPr>
          <w:rFonts w:hint="default" w:ascii="仿宋_GB2312" w:hAnsi="宋体" w:eastAsia="仿宋_GB2312"/>
          <w:sz w:val="32"/>
          <w:szCs w:val="32"/>
          <w:lang w:val="en-US" w:eastAsia="zh-CN"/>
        </w:rPr>
      </w:pPr>
      <w:r>
        <w:rPr>
          <w:rFonts w:hint="eastAsia" w:ascii="仿宋_GB2312" w:hAnsi="宋体" w:eastAsia="仿宋_GB2312"/>
          <w:color w:val="000000"/>
          <w:spacing w:val="10"/>
          <w:kern w:val="0"/>
          <w:sz w:val="32"/>
          <w:szCs w:val="32"/>
          <w:lang w:eastAsia="zh-CN"/>
        </w:rPr>
        <w:t>制造</w:t>
      </w:r>
      <w:r>
        <w:rPr>
          <w:rFonts w:hint="eastAsia" w:ascii="仿宋_GB2312" w:hAnsi="宋体" w:eastAsia="仿宋_GB2312"/>
          <w:color w:val="000000"/>
          <w:spacing w:val="10"/>
          <w:kern w:val="0"/>
          <w:sz w:val="32"/>
          <w:szCs w:val="32"/>
        </w:rPr>
        <w:t xml:space="preserve">管理部 </w:t>
      </w:r>
      <w:r>
        <w:rPr>
          <w:rFonts w:hint="eastAsia" w:ascii="仿宋_GB2312" w:hAnsi="宋体" w:eastAsia="仿宋_GB2312"/>
          <w:color w:val="000000"/>
          <w:spacing w:val="10"/>
          <w:kern w:val="0"/>
          <w:sz w:val="32"/>
          <w:szCs w:val="32"/>
          <w:lang w:val="en-US" w:eastAsia="zh-CN"/>
        </w:rPr>
        <w:t>王</w:t>
      </w:r>
      <w:r>
        <w:rPr>
          <w:rFonts w:hint="eastAsia" w:ascii="仿宋_GB2312" w:hAnsi="宋体" w:eastAsia="仿宋_GB2312"/>
          <w:color w:val="000000"/>
          <w:spacing w:val="10"/>
          <w:kern w:val="0"/>
          <w:sz w:val="32"/>
          <w:szCs w:val="32"/>
        </w:rPr>
        <w:t>先生0</w:t>
      </w:r>
      <w:r>
        <w:rPr>
          <w:rFonts w:ascii="仿宋_GB2312" w:hAnsi="宋体" w:eastAsia="仿宋_GB2312"/>
          <w:color w:val="000000"/>
          <w:spacing w:val="10"/>
          <w:kern w:val="0"/>
          <w:sz w:val="32"/>
          <w:szCs w:val="32"/>
        </w:rPr>
        <w:t>531-</w:t>
      </w:r>
      <w:r>
        <w:rPr>
          <w:rFonts w:hint="eastAsia" w:ascii="仿宋_GB2312" w:hAnsi="宋体" w:eastAsia="仿宋_GB2312"/>
          <w:color w:val="000000"/>
          <w:spacing w:val="10"/>
          <w:kern w:val="0"/>
          <w:sz w:val="32"/>
          <w:szCs w:val="32"/>
          <w:lang w:val="en-US" w:eastAsia="zh-CN"/>
        </w:rPr>
        <w:t>77920308</w:t>
      </w:r>
    </w:p>
    <w:p>
      <w:pPr>
        <w:spacing w:line="580" w:lineRule="exact"/>
        <w:ind w:firstLine="640" w:firstLineChars="200"/>
        <w:rPr>
          <w:rFonts w:ascii="黑体" w:hAnsi="黑体" w:eastAsia="黑体"/>
          <w:sz w:val="32"/>
          <w:szCs w:val="32"/>
        </w:rPr>
      </w:pPr>
      <w:r>
        <w:rPr>
          <w:rFonts w:hint="eastAsia" w:ascii="黑体" w:hAnsi="黑体" w:eastAsia="黑体"/>
          <w:sz w:val="32"/>
          <w:szCs w:val="32"/>
          <w:lang w:val="en-US" w:eastAsia="zh-CN"/>
        </w:rPr>
        <w:t>九</w:t>
      </w:r>
      <w:r>
        <w:rPr>
          <w:rFonts w:hint="eastAsia" w:ascii="黑体" w:hAnsi="黑体" w:eastAsia="黑体"/>
          <w:sz w:val="32"/>
          <w:szCs w:val="32"/>
        </w:rPr>
        <w:t>、投标运作步骤</w:t>
      </w:r>
    </w:p>
    <w:p>
      <w:pPr>
        <w:autoSpaceDE w:val="0"/>
        <w:autoSpaceDN w:val="0"/>
        <w:adjustRightInd w:val="0"/>
        <w:spacing w:line="560" w:lineRule="exact"/>
        <w:ind w:firstLine="640" w:firstLineChars="200"/>
        <w:jc w:val="both"/>
        <w:textAlignment w:val="center"/>
        <w:rPr>
          <w:rFonts w:hint="eastAsia" w:ascii="仿宋_GB2312" w:hAnsi="宋体" w:eastAsia="仿宋_GB2312"/>
          <w:color w:val="auto"/>
          <w:sz w:val="32"/>
          <w:szCs w:val="32"/>
        </w:rPr>
      </w:pPr>
      <w:r>
        <w:rPr>
          <w:rFonts w:hint="eastAsia" w:ascii="仿宋_GB2312" w:hAnsi="宋体" w:eastAsia="仿宋_GB2312"/>
          <w:sz w:val="32"/>
          <w:szCs w:val="32"/>
        </w:rPr>
        <w:t>（一）</w:t>
      </w:r>
      <w:r>
        <w:rPr>
          <w:rFonts w:hint="eastAsia" w:ascii="仿宋_GB2312" w:hAnsi="宋体" w:eastAsia="仿宋_GB2312"/>
          <w:sz w:val="32"/>
          <w:szCs w:val="32"/>
          <w:lang w:eastAsia="zh-CN"/>
        </w:rPr>
        <w:t>报名截止</w:t>
      </w:r>
      <w:r>
        <w:rPr>
          <w:rFonts w:hint="eastAsia" w:ascii="仿宋_GB2312" w:hAnsi="宋体" w:eastAsia="仿宋_GB2312"/>
          <w:sz w:val="32"/>
          <w:szCs w:val="32"/>
        </w:rPr>
        <w:t>时间</w:t>
      </w:r>
      <w:r>
        <w:rPr>
          <w:rFonts w:hint="eastAsia" w:ascii="仿宋_GB2312" w:hAnsi="宋体" w:eastAsia="仿宋_GB2312"/>
          <w:sz w:val="32"/>
          <w:szCs w:val="32"/>
          <w:lang w:eastAsia="zh-CN"/>
        </w:rPr>
        <w:t>及报价截止时间按照投标</w:t>
      </w:r>
      <w:r>
        <w:rPr>
          <w:rFonts w:hint="eastAsia" w:ascii="仿宋_GB2312" w:hAnsi="宋体" w:eastAsia="仿宋_GB2312"/>
          <w:color w:val="auto"/>
          <w:sz w:val="32"/>
          <w:szCs w:val="32"/>
          <w:lang w:eastAsia="zh-CN"/>
        </w:rPr>
        <w:t>网站</w:t>
      </w:r>
      <w:r>
        <w:rPr>
          <w:rFonts w:ascii="仿宋_GB2312" w:hAnsi="宋体" w:eastAsia="仿宋_GB2312" w:cs="仿宋_GB2312"/>
          <w:color w:val="000000"/>
          <w:kern w:val="0"/>
          <w:sz w:val="31"/>
          <w:szCs w:val="31"/>
          <w:lang w:val="en-US" w:eastAsia="zh-CN" w:bidi="ar"/>
        </w:rPr>
        <w:t>bams.shansteelgroup.com</w:t>
      </w:r>
      <w:r>
        <w:rPr>
          <w:rFonts w:hint="eastAsia" w:ascii="仿宋_GB2312" w:hAnsi="宋体" w:eastAsia="仿宋_GB2312"/>
          <w:color w:val="auto"/>
          <w:sz w:val="32"/>
          <w:szCs w:val="32"/>
          <w:lang w:val="en-US" w:eastAsia="zh-CN"/>
        </w:rPr>
        <w:t>项目设定执行</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过期者视为自动放弃。</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二</w:t>
      </w:r>
      <w:r>
        <w:rPr>
          <w:rFonts w:hint="eastAsia" w:ascii="仿宋_GB2312" w:hAnsi="宋体" w:eastAsia="仿宋_GB2312"/>
          <w:sz w:val="32"/>
          <w:szCs w:val="32"/>
        </w:rPr>
        <w:t>）投标过程</w:t>
      </w:r>
      <w:r>
        <w:rPr>
          <w:rFonts w:hint="eastAsia" w:ascii="仿宋_GB2312" w:hAnsi="宋体" w:eastAsia="仿宋_GB2312"/>
          <w:sz w:val="32"/>
          <w:szCs w:val="32"/>
          <w:lang w:eastAsia="zh-CN"/>
        </w:rPr>
        <w:t>严格执行国家相关招标法律法规</w:t>
      </w:r>
      <w:r>
        <w:rPr>
          <w:rFonts w:hint="eastAsia" w:ascii="仿宋_GB2312" w:hAnsi="宋体" w:eastAsia="仿宋_GB2312"/>
          <w:sz w:val="32"/>
          <w:szCs w:val="32"/>
        </w:rPr>
        <w:t>。</w:t>
      </w:r>
    </w:p>
    <w:p>
      <w:pPr>
        <w:spacing w:line="580" w:lineRule="exact"/>
        <w:ind w:firstLine="640" w:firstLineChars="200"/>
        <w:rPr>
          <w:rFonts w:ascii="黑体" w:hAnsi="黑体" w:eastAsia="黑体"/>
          <w:szCs w:val="21"/>
        </w:rPr>
      </w:pPr>
      <w:r>
        <w:rPr>
          <w:rFonts w:hint="eastAsia" w:ascii="仿宋_GB2312" w:hAnsi="宋体" w:eastAsia="仿宋_GB2312"/>
          <w:sz w:val="32"/>
          <w:szCs w:val="32"/>
        </w:rPr>
        <w:t>附件</w:t>
      </w:r>
      <w:r>
        <w:rPr>
          <w:rFonts w:hint="eastAsia" w:ascii="仿宋_GB2312" w:hAnsi="宋体" w:eastAsia="仿宋_GB2312"/>
          <w:sz w:val="32"/>
          <w:szCs w:val="32"/>
          <w:lang w:val="en-US" w:eastAsia="zh-CN"/>
        </w:rPr>
        <w:t>1</w:t>
      </w:r>
      <w:r>
        <w:rPr>
          <w:rFonts w:hint="eastAsia" w:ascii="仿宋_GB2312" w:hAnsi="宋体" w:eastAsia="仿宋_GB2312"/>
          <w:sz w:val="32"/>
          <w:szCs w:val="32"/>
        </w:rPr>
        <w:t>：投标报价表</w:t>
      </w:r>
    </w:p>
    <w:p>
      <w:pPr>
        <w:ind w:firstLine="420" w:firstLineChars="200"/>
        <w:rPr>
          <w:rFonts w:ascii="仿宋_GB2312" w:eastAsia="仿宋_GB2312"/>
          <w:szCs w:val="21"/>
        </w:rPr>
      </w:pPr>
    </w:p>
    <w:p>
      <w:pPr>
        <w:rPr>
          <w:rFonts w:ascii="黑体" w:hAnsi="黑体" w:eastAsia="黑体"/>
          <w:szCs w:val="21"/>
        </w:rPr>
      </w:pPr>
    </w:p>
    <w:p>
      <w:pPr>
        <w:pStyle w:val="2"/>
        <w:rPr>
          <w:rFonts w:ascii="黑体" w:hAnsi="黑体" w:eastAsia="黑体"/>
          <w:szCs w:val="21"/>
        </w:rPr>
      </w:pPr>
    </w:p>
    <w:p>
      <w:pPr>
        <w:rPr>
          <w:rFonts w:ascii="黑体" w:hAnsi="黑体" w:eastAsia="黑体"/>
          <w:szCs w:val="21"/>
        </w:rPr>
      </w:pPr>
    </w:p>
    <w:p>
      <w:pPr>
        <w:pStyle w:val="2"/>
        <w:rPr>
          <w:rFonts w:ascii="黑体" w:hAnsi="黑体" w:eastAsia="黑体"/>
          <w:szCs w:val="21"/>
        </w:rPr>
      </w:pPr>
    </w:p>
    <w:p/>
    <w:p>
      <w:pPr>
        <w:ind w:firstLine="420" w:firstLineChars="200"/>
        <w:rPr>
          <w:rFonts w:ascii="仿宋_GB2312" w:eastAsia="仿宋_GB2312"/>
          <w:szCs w:val="21"/>
        </w:rPr>
      </w:pPr>
    </w:p>
    <w:p>
      <w:pPr>
        <w:rPr>
          <w:rFonts w:hint="eastAsia" w:ascii="黑体" w:hAnsi="黑体" w:eastAsia="黑体"/>
          <w:szCs w:val="21"/>
          <w:lang w:eastAsia="zh-CN"/>
        </w:rPr>
      </w:pPr>
      <w:r>
        <w:rPr>
          <w:rFonts w:hint="eastAsia" w:ascii="黑体" w:hAnsi="黑体" w:eastAsia="黑体"/>
          <w:szCs w:val="21"/>
        </w:rPr>
        <w:t>附件</w:t>
      </w:r>
      <w:r>
        <w:rPr>
          <w:rFonts w:hint="eastAsia" w:ascii="黑体" w:hAnsi="黑体" w:eastAsia="黑体"/>
          <w:szCs w:val="21"/>
          <w:lang w:val="en-US" w:eastAsia="zh-CN"/>
        </w:rPr>
        <w:t>1</w:t>
      </w:r>
    </w:p>
    <w:tbl>
      <w:tblPr>
        <w:tblStyle w:val="8"/>
        <w:tblW w:w="8662" w:type="dxa"/>
        <w:jc w:val="center"/>
        <w:tblLayout w:type="fixed"/>
        <w:tblCellMar>
          <w:top w:w="0" w:type="dxa"/>
          <w:left w:w="108" w:type="dxa"/>
          <w:bottom w:w="0" w:type="dxa"/>
          <w:right w:w="108" w:type="dxa"/>
        </w:tblCellMar>
      </w:tblPr>
      <w:tblGrid>
        <w:gridCol w:w="5260"/>
        <w:gridCol w:w="3402"/>
      </w:tblGrid>
      <w:tr>
        <w:tblPrEx>
          <w:tblCellMar>
            <w:top w:w="0" w:type="dxa"/>
            <w:left w:w="108" w:type="dxa"/>
            <w:bottom w:w="0" w:type="dxa"/>
            <w:right w:w="108" w:type="dxa"/>
          </w:tblCellMar>
        </w:tblPrEx>
        <w:trPr>
          <w:trHeight w:val="454" w:hRule="atLeast"/>
          <w:jc w:val="center"/>
        </w:trPr>
        <w:tc>
          <w:tcPr>
            <w:tcW w:w="52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szCs w:val="21"/>
              </w:rPr>
            </w:pPr>
            <w:r>
              <w:rPr>
                <w:rFonts w:hint="eastAsia" w:ascii="宋体" w:hAnsi="宋体"/>
                <w:szCs w:val="21"/>
              </w:rPr>
              <w:t>投标类别</w:t>
            </w:r>
          </w:p>
        </w:tc>
        <w:tc>
          <w:tcPr>
            <w:tcW w:w="3402"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投标价格</w:t>
            </w:r>
            <w:r>
              <w:rPr>
                <w:rFonts w:ascii="宋体" w:hAnsi="宋体"/>
                <w:szCs w:val="21"/>
              </w:rPr>
              <w:t xml:space="preserve"> </w:t>
            </w:r>
            <w:r>
              <w:rPr>
                <w:rFonts w:hint="eastAsia" w:ascii="宋体" w:hAnsi="宋体"/>
                <w:szCs w:val="21"/>
              </w:rPr>
              <w:t>单位</w:t>
            </w:r>
            <w:r>
              <w:rPr>
                <w:rFonts w:ascii="宋体" w:hAnsi="宋体"/>
                <w:szCs w:val="21"/>
              </w:rPr>
              <w:t xml:space="preserve"> </w:t>
            </w:r>
            <w:r>
              <w:rPr>
                <w:rFonts w:hint="eastAsia" w:ascii="宋体" w:hAnsi="宋体"/>
                <w:color w:val="FF0000"/>
                <w:szCs w:val="21"/>
              </w:rPr>
              <w:t>元</w:t>
            </w:r>
            <w:r>
              <w:rPr>
                <w:rFonts w:ascii="宋体" w:hAnsi="宋体"/>
                <w:color w:val="FF0000"/>
                <w:szCs w:val="21"/>
              </w:rPr>
              <w:t>/</w:t>
            </w:r>
            <w:r>
              <w:rPr>
                <w:rFonts w:hint="eastAsia" w:ascii="宋体" w:hAnsi="宋体"/>
                <w:color w:val="FF0000"/>
                <w:szCs w:val="21"/>
              </w:rPr>
              <w:t>吨</w:t>
            </w:r>
            <w:r>
              <w:rPr>
                <w:rFonts w:ascii="宋体" w:hAnsi="宋体"/>
                <w:szCs w:val="21"/>
              </w:rPr>
              <w:t>(</w:t>
            </w:r>
            <w:r>
              <w:rPr>
                <w:rFonts w:hint="eastAsia" w:ascii="宋体" w:hAnsi="宋体"/>
                <w:szCs w:val="21"/>
              </w:rPr>
              <w:t>不含税</w:t>
            </w:r>
            <w:r>
              <w:rPr>
                <w:rFonts w:ascii="宋体" w:hAnsi="宋体"/>
                <w:szCs w:val="21"/>
              </w:rPr>
              <w:t>)</w:t>
            </w:r>
          </w:p>
        </w:tc>
      </w:tr>
      <w:tr>
        <w:tblPrEx>
          <w:tblCellMar>
            <w:top w:w="0" w:type="dxa"/>
            <w:left w:w="108" w:type="dxa"/>
            <w:bottom w:w="0" w:type="dxa"/>
            <w:right w:w="108" w:type="dxa"/>
          </w:tblCellMar>
        </w:tblPrEx>
        <w:trPr>
          <w:trHeight w:val="493" w:hRule="atLeast"/>
          <w:jc w:val="center"/>
        </w:trPr>
        <w:tc>
          <w:tcPr>
            <w:tcW w:w="5260" w:type="dxa"/>
            <w:tcBorders>
              <w:top w:val="nil"/>
              <w:left w:val="single" w:color="auto" w:sz="4" w:space="0"/>
              <w:bottom w:val="single" w:color="auto" w:sz="4" w:space="0"/>
              <w:right w:val="single" w:color="auto" w:sz="4" w:space="0"/>
            </w:tcBorders>
            <w:noWrap/>
            <w:vAlign w:val="center"/>
          </w:tcPr>
          <w:p>
            <w:pPr>
              <w:rPr>
                <w:rFonts w:hint="default" w:ascii="宋体" w:hAnsi="Times New Roman" w:eastAsia="宋体" w:cs="Times New Roman"/>
                <w:kern w:val="2"/>
                <w:sz w:val="21"/>
                <w:szCs w:val="21"/>
                <w:lang w:val="en-US" w:eastAsia="zh-CN" w:bidi="ar-SA"/>
              </w:rPr>
            </w:pPr>
            <w:r>
              <w:rPr>
                <w:rFonts w:hint="eastAsia" w:ascii="宋体" w:cs="宋体"/>
                <w:szCs w:val="21"/>
                <w:lang w:eastAsia="zh-CN"/>
              </w:rPr>
              <w:t>打捆（中异型）</w:t>
            </w:r>
            <w:r>
              <w:rPr>
                <w:rFonts w:hint="eastAsia" w:ascii="宋体" w:cs="宋体"/>
                <w:szCs w:val="21"/>
                <w:lang w:val="en-US" w:eastAsia="zh-CN"/>
              </w:rPr>
              <w:t xml:space="preserve"> </w:t>
            </w:r>
            <w:r>
              <w:rPr>
                <w:rFonts w:hint="eastAsia" w:ascii="宋体" w:cs="宋体"/>
                <w:szCs w:val="21"/>
              </w:rPr>
              <w:t>吨</w:t>
            </w:r>
            <w:r>
              <w:rPr>
                <w:rFonts w:ascii="宋体" w:cs="宋体"/>
                <w:szCs w:val="21"/>
              </w:rPr>
              <w:t>*</w:t>
            </w:r>
            <w:r>
              <w:rPr>
                <w:rFonts w:hint="eastAsia" w:ascii="宋体" w:cs="宋体"/>
                <w:szCs w:val="21"/>
              </w:rPr>
              <w:t>单价</w:t>
            </w:r>
          </w:p>
        </w:tc>
        <w:tc>
          <w:tcPr>
            <w:tcW w:w="3402" w:type="dxa"/>
            <w:tcBorders>
              <w:top w:val="nil"/>
              <w:left w:val="single" w:color="auto" w:sz="4" w:space="0"/>
              <w:bottom w:val="single" w:color="auto" w:sz="4" w:space="0"/>
              <w:right w:val="single" w:color="auto" w:sz="4" w:space="0"/>
            </w:tcBorders>
            <w:vAlign w:val="bottom"/>
          </w:tcPr>
          <w:p>
            <w:pPr>
              <w:rPr>
                <w:rFonts w:ascii="宋体" w:cs="宋体"/>
                <w:szCs w:val="21"/>
              </w:rPr>
            </w:pPr>
          </w:p>
        </w:tc>
      </w:tr>
      <w:tr>
        <w:tblPrEx>
          <w:tblCellMar>
            <w:top w:w="0" w:type="dxa"/>
            <w:left w:w="108" w:type="dxa"/>
            <w:bottom w:w="0" w:type="dxa"/>
            <w:right w:w="108" w:type="dxa"/>
          </w:tblCellMar>
        </w:tblPrEx>
        <w:trPr>
          <w:trHeight w:val="530" w:hRule="atLeast"/>
          <w:jc w:val="center"/>
        </w:trPr>
        <w:tc>
          <w:tcPr>
            <w:tcW w:w="5260" w:type="dxa"/>
            <w:tcBorders>
              <w:top w:val="nil"/>
              <w:left w:val="single" w:color="auto" w:sz="4" w:space="0"/>
              <w:bottom w:val="single" w:color="auto" w:sz="4" w:space="0"/>
              <w:right w:val="single" w:color="auto" w:sz="4" w:space="0"/>
            </w:tcBorders>
            <w:noWrap/>
            <w:vAlign w:val="center"/>
          </w:tcPr>
          <w:p>
            <w:pPr>
              <w:spacing w:line="580" w:lineRule="exact"/>
              <w:rPr>
                <w:rFonts w:hint="default" w:ascii="宋体" w:hAnsi="Times New Roman" w:eastAsia="宋体" w:cs="宋体"/>
                <w:kern w:val="2"/>
                <w:sz w:val="21"/>
                <w:szCs w:val="21"/>
                <w:lang w:val="en-US" w:eastAsia="zh-CN" w:bidi="ar-SA"/>
              </w:rPr>
            </w:pPr>
            <w:r>
              <w:rPr>
                <w:rFonts w:hint="eastAsia" w:ascii="宋体" w:cs="宋体"/>
                <w:szCs w:val="21"/>
                <w:lang w:eastAsia="zh-CN"/>
              </w:rPr>
              <w:t>改制</w:t>
            </w:r>
            <w:r>
              <w:rPr>
                <w:rFonts w:hint="eastAsia" w:ascii="宋体" w:cs="宋体"/>
                <w:szCs w:val="21"/>
                <w:lang w:val="en-US" w:eastAsia="zh-CN"/>
              </w:rPr>
              <w:t xml:space="preserve"> </w:t>
            </w:r>
            <w:r>
              <w:rPr>
                <w:rFonts w:hint="eastAsia" w:ascii="宋体" w:cs="宋体"/>
                <w:szCs w:val="21"/>
              </w:rPr>
              <w:t>吨</w:t>
            </w:r>
            <w:r>
              <w:rPr>
                <w:rFonts w:ascii="宋体" w:cs="宋体"/>
                <w:szCs w:val="21"/>
              </w:rPr>
              <w:t>*</w:t>
            </w:r>
            <w:r>
              <w:rPr>
                <w:rFonts w:hint="eastAsia" w:ascii="宋体" w:cs="宋体"/>
                <w:szCs w:val="21"/>
              </w:rPr>
              <w:t>单价</w:t>
            </w:r>
          </w:p>
        </w:tc>
        <w:tc>
          <w:tcPr>
            <w:tcW w:w="3402" w:type="dxa"/>
            <w:tcBorders>
              <w:top w:val="nil"/>
              <w:left w:val="single" w:color="auto" w:sz="4" w:space="0"/>
              <w:bottom w:val="single" w:color="auto" w:sz="4" w:space="0"/>
              <w:right w:val="single" w:color="auto" w:sz="4" w:space="0"/>
            </w:tcBorders>
            <w:vAlign w:val="bottom"/>
          </w:tcPr>
          <w:p>
            <w:pPr>
              <w:rPr>
                <w:rFonts w:ascii="宋体"/>
                <w:szCs w:val="21"/>
              </w:rPr>
            </w:pPr>
          </w:p>
        </w:tc>
      </w:tr>
      <w:tr>
        <w:tblPrEx>
          <w:tblCellMar>
            <w:top w:w="0" w:type="dxa"/>
            <w:left w:w="108" w:type="dxa"/>
            <w:bottom w:w="0" w:type="dxa"/>
            <w:right w:w="108" w:type="dxa"/>
          </w:tblCellMar>
        </w:tblPrEx>
        <w:trPr>
          <w:trHeight w:val="530" w:hRule="atLeast"/>
          <w:jc w:val="center"/>
        </w:trPr>
        <w:tc>
          <w:tcPr>
            <w:tcW w:w="5260" w:type="dxa"/>
            <w:tcBorders>
              <w:top w:val="nil"/>
              <w:left w:val="single" w:color="auto" w:sz="4" w:space="0"/>
              <w:bottom w:val="single" w:color="auto" w:sz="4" w:space="0"/>
              <w:right w:val="single" w:color="auto" w:sz="4" w:space="0"/>
            </w:tcBorders>
            <w:noWrap/>
            <w:vAlign w:val="center"/>
          </w:tcPr>
          <w:p>
            <w:pPr>
              <w:rPr>
                <w:rFonts w:hint="eastAsia" w:ascii="宋体" w:hAnsi="Times New Roman" w:eastAsia="宋体" w:cs="Times New Roman"/>
                <w:kern w:val="2"/>
                <w:sz w:val="21"/>
                <w:szCs w:val="21"/>
                <w:lang w:val="en-US" w:eastAsia="zh-CN" w:bidi="ar-SA"/>
              </w:rPr>
            </w:pPr>
            <w:r>
              <w:rPr>
                <w:rFonts w:hint="eastAsia" w:ascii="宋体"/>
                <w:szCs w:val="21"/>
                <w:lang w:eastAsia="zh-CN"/>
              </w:rPr>
              <w:t>正品废品散捆打捆</w:t>
            </w:r>
            <w:r>
              <w:rPr>
                <w:rFonts w:hint="eastAsia" w:ascii="宋体"/>
                <w:szCs w:val="21"/>
                <w:lang w:val="en-US" w:eastAsia="zh-CN"/>
              </w:rPr>
              <w:t xml:space="preserve"> </w:t>
            </w:r>
            <w:r>
              <w:rPr>
                <w:rFonts w:hint="eastAsia" w:ascii="宋体" w:cs="宋体"/>
                <w:szCs w:val="21"/>
              </w:rPr>
              <w:t>吨</w:t>
            </w:r>
            <w:r>
              <w:rPr>
                <w:rFonts w:ascii="宋体" w:cs="宋体"/>
                <w:szCs w:val="21"/>
              </w:rPr>
              <w:t>*</w:t>
            </w:r>
            <w:r>
              <w:rPr>
                <w:rFonts w:hint="eastAsia" w:ascii="宋体" w:cs="宋体"/>
                <w:szCs w:val="21"/>
              </w:rPr>
              <w:t>单价</w:t>
            </w:r>
          </w:p>
        </w:tc>
        <w:tc>
          <w:tcPr>
            <w:tcW w:w="3402" w:type="dxa"/>
            <w:tcBorders>
              <w:top w:val="nil"/>
              <w:left w:val="single" w:color="auto" w:sz="4" w:space="0"/>
              <w:bottom w:val="single" w:color="auto" w:sz="4" w:space="0"/>
              <w:right w:val="single" w:color="auto" w:sz="4" w:space="0"/>
            </w:tcBorders>
            <w:vAlign w:val="bottom"/>
          </w:tcPr>
          <w:p>
            <w:pPr>
              <w:rPr>
                <w:rFonts w:ascii="宋体" w:cs="宋体"/>
                <w:szCs w:val="21"/>
              </w:rPr>
            </w:pPr>
          </w:p>
        </w:tc>
      </w:tr>
      <w:tr>
        <w:tblPrEx>
          <w:tblCellMar>
            <w:top w:w="0" w:type="dxa"/>
            <w:left w:w="108" w:type="dxa"/>
            <w:bottom w:w="0" w:type="dxa"/>
            <w:right w:w="108" w:type="dxa"/>
          </w:tblCellMar>
        </w:tblPrEx>
        <w:trPr>
          <w:trHeight w:val="454" w:hRule="atLeast"/>
          <w:jc w:val="center"/>
        </w:trPr>
        <w:tc>
          <w:tcPr>
            <w:tcW w:w="5260" w:type="dxa"/>
            <w:tcBorders>
              <w:top w:val="nil"/>
              <w:left w:val="single" w:color="auto" w:sz="4" w:space="0"/>
              <w:bottom w:val="single" w:color="auto" w:sz="4" w:space="0"/>
              <w:right w:val="single" w:color="auto" w:sz="4" w:space="0"/>
            </w:tcBorders>
            <w:noWrap/>
            <w:vAlign w:val="center"/>
          </w:tcPr>
          <w:p>
            <w:pPr>
              <w:rPr>
                <w:rFonts w:ascii="宋体"/>
                <w:szCs w:val="21"/>
              </w:rPr>
            </w:pPr>
          </w:p>
        </w:tc>
        <w:tc>
          <w:tcPr>
            <w:tcW w:w="3402" w:type="dxa"/>
            <w:tcBorders>
              <w:top w:val="nil"/>
              <w:left w:val="single" w:color="auto" w:sz="4" w:space="0"/>
              <w:bottom w:val="single" w:color="auto" w:sz="4" w:space="0"/>
              <w:right w:val="single" w:color="auto" w:sz="4" w:space="0"/>
            </w:tcBorders>
            <w:vAlign w:val="bottom"/>
          </w:tcPr>
          <w:p>
            <w:pPr>
              <w:rPr>
                <w:rFonts w:ascii="宋体"/>
                <w:szCs w:val="21"/>
              </w:rPr>
            </w:pPr>
          </w:p>
        </w:tc>
      </w:tr>
      <w:tr>
        <w:tblPrEx>
          <w:tblCellMar>
            <w:top w:w="0" w:type="dxa"/>
            <w:left w:w="108" w:type="dxa"/>
            <w:bottom w:w="0" w:type="dxa"/>
            <w:right w:w="108" w:type="dxa"/>
          </w:tblCellMar>
        </w:tblPrEx>
        <w:trPr>
          <w:trHeight w:val="454" w:hRule="atLeast"/>
          <w:jc w:val="center"/>
        </w:trPr>
        <w:tc>
          <w:tcPr>
            <w:tcW w:w="8662" w:type="dxa"/>
            <w:gridSpan w:val="2"/>
            <w:tcBorders>
              <w:top w:val="nil"/>
              <w:left w:val="single" w:color="auto" w:sz="4" w:space="0"/>
              <w:bottom w:val="single" w:color="auto" w:sz="4" w:space="0"/>
              <w:right w:val="single" w:color="auto" w:sz="4" w:space="0"/>
            </w:tcBorders>
            <w:noWrap/>
            <w:vAlign w:val="center"/>
          </w:tcPr>
          <w:p>
            <w:pPr>
              <w:rPr>
                <w:rFonts w:ascii="宋体"/>
                <w:szCs w:val="21"/>
              </w:rPr>
            </w:pPr>
            <w:r>
              <w:rPr>
                <w:rFonts w:hint="eastAsia" w:ascii="宋体" w:hAnsi="宋体"/>
                <w:szCs w:val="21"/>
              </w:rPr>
              <w:t>填写要求：手工填写，要求字迹清晰、工整，不允许有涂改痕迹。</w:t>
            </w:r>
          </w:p>
        </w:tc>
      </w:tr>
    </w:tbl>
    <w:p>
      <w:pPr>
        <w:spacing w:line="580" w:lineRule="exact"/>
        <w:ind w:firstLine="420" w:firstLineChars="200"/>
        <w:rPr>
          <w:szCs w:val="21"/>
        </w:rPr>
      </w:pPr>
      <w:r>
        <w:rPr>
          <w:rFonts w:hint="eastAsia"/>
          <w:szCs w:val="21"/>
        </w:rPr>
        <w:t>投标单位全称（公章）：</w:t>
      </w:r>
      <w:r>
        <w:rPr>
          <w:szCs w:val="21"/>
        </w:rPr>
        <w:t xml:space="preserve">       </w:t>
      </w:r>
      <w:r>
        <w:rPr>
          <w:rFonts w:hint="eastAsia"/>
          <w:szCs w:val="21"/>
        </w:rPr>
        <w:t>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sectPr>
      <w:headerReference r:id="rId3" w:type="default"/>
      <w:footerReference r:id="rId4"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t>第</w:t>
                          </w:r>
                          <w:r>
                            <w:t xml:space="preserve"> </w:t>
                          </w:r>
                          <w:r>
                            <w:fldChar w:fldCharType="begin"/>
                          </w:r>
                          <w:r>
                            <w:instrText xml:space="preserve"> PAGE  \* MERGEFORMAT </w:instrText>
                          </w:r>
                          <w:r>
                            <w:fldChar w:fldCharType="separate"/>
                          </w:r>
                          <w:r>
                            <w:t>3</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6</w:t>
                          </w:r>
                          <w:r>
                            <w:fldChar w:fldCharType="end"/>
                          </w:r>
                          <w:r>
                            <w:t xml:space="preserve"> </w:t>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5"/>
                    </w:pPr>
                    <w:r>
                      <w:rPr>
                        <w:rFonts w:hint="eastAsia"/>
                      </w:rPr>
                      <w:t>第</w:t>
                    </w:r>
                    <w:r>
                      <w:t xml:space="preserve"> </w:t>
                    </w:r>
                    <w:r>
                      <w:fldChar w:fldCharType="begin"/>
                    </w:r>
                    <w:r>
                      <w:instrText xml:space="preserve"> PAGE  \* MERGEFORMAT </w:instrText>
                    </w:r>
                    <w:r>
                      <w:fldChar w:fldCharType="separate"/>
                    </w:r>
                    <w:r>
                      <w:t>3</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6</w:t>
                    </w:r>
                    <w:r>
                      <w:fldChar w:fldCharType="end"/>
                    </w:r>
                    <w:r>
                      <w:t xml:space="preserve"> </w:t>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F8F"/>
    <w:rsid w:val="00001EE8"/>
    <w:rsid w:val="00005530"/>
    <w:rsid w:val="0002718E"/>
    <w:rsid w:val="00030412"/>
    <w:rsid w:val="000400AF"/>
    <w:rsid w:val="0004333D"/>
    <w:rsid w:val="000569FD"/>
    <w:rsid w:val="00062736"/>
    <w:rsid w:val="0007086D"/>
    <w:rsid w:val="00072DCE"/>
    <w:rsid w:val="00076475"/>
    <w:rsid w:val="00093ADC"/>
    <w:rsid w:val="000A48C1"/>
    <w:rsid w:val="000B3CC8"/>
    <w:rsid w:val="000B4C05"/>
    <w:rsid w:val="000C7894"/>
    <w:rsid w:val="000D0EDA"/>
    <w:rsid w:val="000D5A8F"/>
    <w:rsid w:val="000E0180"/>
    <w:rsid w:val="000E209A"/>
    <w:rsid w:val="000E2433"/>
    <w:rsid w:val="000E420A"/>
    <w:rsid w:val="000E478A"/>
    <w:rsid w:val="00100FE5"/>
    <w:rsid w:val="001055E1"/>
    <w:rsid w:val="00110341"/>
    <w:rsid w:val="00114CCF"/>
    <w:rsid w:val="00125D14"/>
    <w:rsid w:val="00144F17"/>
    <w:rsid w:val="0014732C"/>
    <w:rsid w:val="00167188"/>
    <w:rsid w:val="0016744A"/>
    <w:rsid w:val="001758F1"/>
    <w:rsid w:val="00182ED9"/>
    <w:rsid w:val="00190336"/>
    <w:rsid w:val="0019556A"/>
    <w:rsid w:val="00196F79"/>
    <w:rsid w:val="001A298D"/>
    <w:rsid w:val="001C722D"/>
    <w:rsid w:val="00214BCD"/>
    <w:rsid w:val="00230ADC"/>
    <w:rsid w:val="00234131"/>
    <w:rsid w:val="00251E39"/>
    <w:rsid w:val="00260F3F"/>
    <w:rsid w:val="00277117"/>
    <w:rsid w:val="00295E8D"/>
    <w:rsid w:val="002A3F78"/>
    <w:rsid w:val="002A76A7"/>
    <w:rsid w:val="002B012E"/>
    <w:rsid w:val="002B2566"/>
    <w:rsid w:val="002B282D"/>
    <w:rsid w:val="002B6962"/>
    <w:rsid w:val="002C1018"/>
    <w:rsid w:val="002C3A32"/>
    <w:rsid w:val="002C5CD5"/>
    <w:rsid w:val="002D67C1"/>
    <w:rsid w:val="002E21E2"/>
    <w:rsid w:val="003050BB"/>
    <w:rsid w:val="00305F0B"/>
    <w:rsid w:val="00320ED6"/>
    <w:rsid w:val="003270C6"/>
    <w:rsid w:val="003533C6"/>
    <w:rsid w:val="0038387F"/>
    <w:rsid w:val="003A5B00"/>
    <w:rsid w:val="003A6A4E"/>
    <w:rsid w:val="003B3488"/>
    <w:rsid w:val="003C0E1B"/>
    <w:rsid w:val="003D1A4B"/>
    <w:rsid w:val="003E47A6"/>
    <w:rsid w:val="003F28E9"/>
    <w:rsid w:val="004145F6"/>
    <w:rsid w:val="004156F1"/>
    <w:rsid w:val="00417A1A"/>
    <w:rsid w:val="00434C46"/>
    <w:rsid w:val="0046110B"/>
    <w:rsid w:val="00474747"/>
    <w:rsid w:val="0047483B"/>
    <w:rsid w:val="004760BC"/>
    <w:rsid w:val="00480F3E"/>
    <w:rsid w:val="00490AC3"/>
    <w:rsid w:val="004A2A7D"/>
    <w:rsid w:val="004A2F12"/>
    <w:rsid w:val="004B0BC9"/>
    <w:rsid w:val="004B4D36"/>
    <w:rsid w:val="004B5A9D"/>
    <w:rsid w:val="004C0C54"/>
    <w:rsid w:val="004C23D9"/>
    <w:rsid w:val="004D5E21"/>
    <w:rsid w:val="004D68ED"/>
    <w:rsid w:val="004E26E4"/>
    <w:rsid w:val="004F0105"/>
    <w:rsid w:val="004F7488"/>
    <w:rsid w:val="005105F4"/>
    <w:rsid w:val="00522B77"/>
    <w:rsid w:val="00523CC8"/>
    <w:rsid w:val="005344EE"/>
    <w:rsid w:val="00535714"/>
    <w:rsid w:val="0053675A"/>
    <w:rsid w:val="00541619"/>
    <w:rsid w:val="00547C9D"/>
    <w:rsid w:val="00551301"/>
    <w:rsid w:val="00551C58"/>
    <w:rsid w:val="005554E4"/>
    <w:rsid w:val="00573D09"/>
    <w:rsid w:val="00574021"/>
    <w:rsid w:val="0057489A"/>
    <w:rsid w:val="005800DE"/>
    <w:rsid w:val="005811CE"/>
    <w:rsid w:val="00583695"/>
    <w:rsid w:val="00587059"/>
    <w:rsid w:val="00587903"/>
    <w:rsid w:val="00590F9C"/>
    <w:rsid w:val="00595B1B"/>
    <w:rsid w:val="005B48AB"/>
    <w:rsid w:val="005C3B66"/>
    <w:rsid w:val="005D2212"/>
    <w:rsid w:val="005D5119"/>
    <w:rsid w:val="005D6FE5"/>
    <w:rsid w:val="005E7AA6"/>
    <w:rsid w:val="005E7B02"/>
    <w:rsid w:val="005E7F02"/>
    <w:rsid w:val="005F524D"/>
    <w:rsid w:val="005F7363"/>
    <w:rsid w:val="006010DD"/>
    <w:rsid w:val="00626185"/>
    <w:rsid w:val="00635725"/>
    <w:rsid w:val="00640D2E"/>
    <w:rsid w:val="006470F4"/>
    <w:rsid w:val="0065551F"/>
    <w:rsid w:val="00660DAD"/>
    <w:rsid w:val="00674288"/>
    <w:rsid w:val="00687F44"/>
    <w:rsid w:val="006917AA"/>
    <w:rsid w:val="006A6876"/>
    <w:rsid w:val="006A7470"/>
    <w:rsid w:val="006A7900"/>
    <w:rsid w:val="006B58AB"/>
    <w:rsid w:val="006C2995"/>
    <w:rsid w:val="006D30BE"/>
    <w:rsid w:val="006E0727"/>
    <w:rsid w:val="006E1E23"/>
    <w:rsid w:val="006E79A7"/>
    <w:rsid w:val="006F016C"/>
    <w:rsid w:val="006F7F14"/>
    <w:rsid w:val="0070015D"/>
    <w:rsid w:val="007015FD"/>
    <w:rsid w:val="007111EE"/>
    <w:rsid w:val="00717A8E"/>
    <w:rsid w:val="0072079C"/>
    <w:rsid w:val="00723EA9"/>
    <w:rsid w:val="007241AF"/>
    <w:rsid w:val="00734E99"/>
    <w:rsid w:val="007428B2"/>
    <w:rsid w:val="00743F7E"/>
    <w:rsid w:val="0074634B"/>
    <w:rsid w:val="00750011"/>
    <w:rsid w:val="00755958"/>
    <w:rsid w:val="007574F4"/>
    <w:rsid w:val="00761BCD"/>
    <w:rsid w:val="00764BE1"/>
    <w:rsid w:val="007660C2"/>
    <w:rsid w:val="00780DDC"/>
    <w:rsid w:val="00781AAD"/>
    <w:rsid w:val="00795CDD"/>
    <w:rsid w:val="007A4708"/>
    <w:rsid w:val="007B5678"/>
    <w:rsid w:val="007C1621"/>
    <w:rsid w:val="007C3522"/>
    <w:rsid w:val="007C3B7E"/>
    <w:rsid w:val="007C7DF5"/>
    <w:rsid w:val="007E0CA7"/>
    <w:rsid w:val="007E3E38"/>
    <w:rsid w:val="007E4844"/>
    <w:rsid w:val="007F39A1"/>
    <w:rsid w:val="007F4A1F"/>
    <w:rsid w:val="00800D28"/>
    <w:rsid w:val="00810832"/>
    <w:rsid w:val="00810B1A"/>
    <w:rsid w:val="008141BF"/>
    <w:rsid w:val="00820E28"/>
    <w:rsid w:val="00822920"/>
    <w:rsid w:val="0082737F"/>
    <w:rsid w:val="008303C8"/>
    <w:rsid w:val="008329F2"/>
    <w:rsid w:val="008532F8"/>
    <w:rsid w:val="00856680"/>
    <w:rsid w:val="00876702"/>
    <w:rsid w:val="008858CD"/>
    <w:rsid w:val="00885CBD"/>
    <w:rsid w:val="00891A6D"/>
    <w:rsid w:val="008A52BD"/>
    <w:rsid w:val="008B152A"/>
    <w:rsid w:val="008B7C28"/>
    <w:rsid w:val="008C23B2"/>
    <w:rsid w:val="008D50BE"/>
    <w:rsid w:val="008F0EF7"/>
    <w:rsid w:val="008F20DB"/>
    <w:rsid w:val="008F2A6B"/>
    <w:rsid w:val="008F6F3C"/>
    <w:rsid w:val="009022C6"/>
    <w:rsid w:val="00922619"/>
    <w:rsid w:val="00926307"/>
    <w:rsid w:val="00927AEF"/>
    <w:rsid w:val="00942201"/>
    <w:rsid w:val="00945F70"/>
    <w:rsid w:val="00961411"/>
    <w:rsid w:val="00963192"/>
    <w:rsid w:val="00967895"/>
    <w:rsid w:val="0099019A"/>
    <w:rsid w:val="009A32C4"/>
    <w:rsid w:val="009A62BC"/>
    <w:rsid w:val="009C1CA2"/>
    <w:rsid w:val="009C771F"/>
    <w:rsid w:val="009D505F"/>
    <w:rsid w:val="009E57EC"/>
    <w:rsid w:val="00A114C4"/>
    <w:rsid w:val="00A125DC"/>
    <w:rsid w:val="00A1436B"/>
    <w:rsid w:val="00A310F5"/>
    <w:rsid w:val="00A55979"/>
    <w:rsid w:val="00A57C7F"/>
    <w:rsid w:val="00A63ECA"/>
    <w:rsid w:val="00A745B9"/>
    <w:rsid w:val="00A8332A"/>
    <w:rsid w:val="00A96D26"/>
    <w:rsid w:val="00AA1B23"/>
    <w:rsid w:val="00AB0EAF"/>
    <w:rsid w:val="00AB4639"/>
    <w:rsid w:val="00AC1FF3"/>
    <w:rsid w:val="00AC20B7"/>
    <w:rsid w:val="00AC3197"/>
    <w:rsid w:val="00AC4BC4"/>
    <w:rsid w:val="00AD7C7C"/>
    <w:rsid w:val="00AE1F4E"/>
    <w:rsid w:val="00AE3EE6"/>
    <w:rsid w:val="00B038EF"/>
    <w:rsid w:val="00B147D9"/>
    <w:rsid w:val="00B21F0E"/>
    <w:rsid w:val="00B40E42"/>
    <w:rsid w:val="00B5153B"/>
    <w:rsid w:val="00B55E6B"/>
    <w:rsid w:val="00B65E81"/>
    <w:rsid w:val="00B74211"/>
    <w:rsid w:val="00B76DD7"/>
    <w:rsid w:val="00BA35A9"/>
    <w:rsid w:val="00BB2E1F"/>
    <w:rsid w:val="00BC0E1C"/>
    <w:rsid w:val="00BC5136"/>
    <w:rsid w:val="00BE1A40"/>
    <w:rsid w:val="00BE5CA1"/>
    <w:rsid w:val="00C011AA"/>
    <w:rsid w:val="00C06365"/>
    <w:rsid w:val="00C10405"/>
    <w:rsid w:val="00C10BF3"/>
    <w:rsid w:val="00C15210"/>
    <w:rsid w:val="00C169CB"/>
    <w:rsid w:val="00C33433"/>
    <w:rsid w:val="00C37640"/>
    <w:rsid w:val="00C53DED"/>
    <w:rsid w:val="00C606E8"/>
    <w:rsid w:val="00C704A5"/>
    <w:rsid w:val="00C71DBE"/>
    <w:rsid w:val="00C8127A"/>
    <w:rsid w:val="00C83A3F"/>
    <w:rsid w:val="00CA05AC"/>
    <w:rsid w:val="00CA3284"/>
    <w:rsid w:val="00CB62D3"/>
    <w:rsid w:val="00CD5A3F"/>
    <w:rsid w:val="00CE33B8"/>
    <w:rsid w:val="00CF3B17"/>
    <w:rsid w:val="00D001CD"/>
    <w:rsid w:val="00D026DE"/>
    <w:rsid w:val="00D20BA3"/>
    <w:rsid w:val="00D21720"/>
    <w:rsid w:val="00D34A41"/>
    <w:rsid w:val="00D34F22"/>
    <w:rsid w:val="00D44D88"/>
    <w:rsid w:val="00D4595D"/>
    <w:rsid w:val="00D55F8F"/>
    <w:rsid w:val="00D849D8"/>
    <w:rsid w:val="00DA1A7D"/>
    <w:rsid w:val="00DA7DD9"/>
    <w:rsid w:val="00DB75A0"/>
    <w:rsid w:val="00DC28D9"/>
    <w:rsid w:val="00DE12D0"/>
    <w:rsid w:val="00DE1434"/>
    <w:rsid w:val="00DE452F"/>
    <w:rsid w:val="00E16376"/>
    <w:rsid w:val="00E2398E"/>
    <w:rsid w:val="00E34DE3"/>
    <w:rsid w:val="00E6387D"/>
    <w:rsid w:val="00E65296"/>
    <w:rsid w:val="00E72348"/>
    <w:rsid w:val="00E7797B"/>
    <w:rsid w:val="00E82EFA"/>
    <w:rsid w:val="00E8331E"/>
    <w:rsid w:val="00E87A21"/>
    <w:rsid w:val="00E968EB"/>
    <w:rsid w:val="00EA75DA"/>
    <w:rsid w:val="00EE1C66"/>
    <w:rsid w:val="00EE4C8F"/>
    <w:rsid w:val="00EF28DB"/>
    <w:rsid w:val="00EF5D6B"/>
    <w:rsid w:val="00EF6362"/>
    <w:rsid w:val="00F077F1"/>
    <w:rsid w:val="00F12CF1"/>
    <w:rsid w:val="00F24B73"/>
    <w:rsid w:val="00F333E6"/>
    <w:rsid w:val="00F40921"/>
    <w:rsid w:val="00F536DB"/>
    <w:rsid w:val="00F70C83"/>
    <w:rsid w:val="00F749A5"/>
    <w:rsid w:val="00F8489E"/>
    <w:rsid w:val="00F84EC0"/>
    <w:rsid w:val="00F85A5B"/>
    <w:rsid w:val="00F90883"/>
    <w:rsid w:val="00F96FB9"/>
    <w:rsid w:val="00FA31CD"/>
    <w:rsid w:val="00FA7C12"/>
    <w:rsid w:val="00FB1F90"/>
    <w:rsid w:val="00FB72CD"/>
    <w:rsid w:val="00FC1392"/>
    <w:rsid w:val="00FD67C3"/>
    <w:rsid w:val="00FD740B"/>
    <w:rsid w:val="00FF1D40"/>
    <w:rsid w:val="039514F9"/>
    <w:rsid w:val="0A397505"/>
    <w:rsid w:val="0B06267E"/>
    <w:rsid w:val="0C123FF6"/>
    <w:rsid w:val="0C3A2F1F"/>
    <w:rsid w:val="0D0E1661"/>
    <w:rsid w:val="0D873FB9"/>
    <w:rsid w:val="10377820"/>
    <w:rsid w:val="10663097"/>
    <w:rsid w:val="121473AF"/>
    <w:rsid w:val="12872C96"/>
    <w:rsid w:val="12D41AE2"/>
    <w:rsid w:val="148E47F1"/>
    <w:rsid w:val="157876AE"/>
    <w:rsid w:val="198260F2"/>
    <w:rsid w:val="1A8E3E87"/>
    <w:rsid w:val="1C24699F"/>
    <w:rsid w:val="1E406DDB"/>
    <w:rsid w:val="1E843B79"/>
    <w:rsid w:val="203A5271"/>
    <w:rsid w:val="227D0E62"/>
    <w:rsid w:val="229028C4"/>
    <w:rsid w:val="22EE5ADF"/>
    <w:rsid w:val="288E3BB4"/>
    <w:rsid w:val="28CA59D0"/>
    <w:rsid w:val="2CCB4BCF"/>
    <w:rsid w:val="2E1375C0"/>
    <w:rsid w:val="33626934"/>
    <w:rsid w:val="356C514C"/>
    <w:rsid w:val="37AD4590"/>
    <w:rsid w:val="3FF86B5D"/>
    <w:rsid w:val="433575D3"/>
    <w:rsid w:val="43E51F12"/>
    <w:rsid w:val="43F0082A"/>
    <w:rsid w:val="44DF651F"/>
    <w:rsid w:val="45EE4B01"/>
    <w:rsid w:val="481600E5"/>
    <w:rsid w:val="484D467F"/>
    <w:rsid w:val="48C409A4"/>
    <w:rsid w:val="49561599"/>
    <w:rsid w:val="544847DC"/>
    <w:rsid w:val="54484CD1"/>
    <w:rsid w:val="57BE2E50"/>
    <w:rsid w:val="5D214CDA"/>
    <w:rsid w:val="5EF32937"/>
    <w:rsid w:val="606061FA"/>
    <w:rsid w:val="619E5866"/>
    <w:rsid w:val="636B451F"/>
    <w:rsid w:val="6470485D"/>
    <w:rsid w:val="69713481"/>
    <w:rsid w:val="6ADA4FBB"/>
    <w:rsid w:val="6B842A05"/>
    <w:rsid w:val="722E3D64"/>
    <w:rsid w:val="74447BCC"/>
    <w:rsid w:val="75E953EE"/>
    <w:rsid w:val="775F65A7"/>
    <w:rsid w:val="784044CE"/>
    <w:rsid w:val="785D2D07"/>
    <w:rsid w:val="7ACF03C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iPriority="99" w:name="Body Text" w:locked="1"/>
    <w:lsdException w:qFormat="1"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locked/>
    <w:uiPriority w:val="99"/>
    <w:pPr>
      <w:spacing w:afterLines="0" w:afterAutospacing="0"/>
    </w:pPr>
  </w:style>
  <w:style w:type="paragraph" w:styleId="3">
    <w:name w:val="Body Text Indent"/>
    <w:basedOn w:val="1"/>
    <w:link w:val="17"/>
    <w:qFormat/>
    <w:locked/>
    <w:uiPriority w:val="99"/>
    <w:pPr>
      <w:ind w:firstLine="720" w:firstLineChars="225"/>
    </w:pPr>
    <w:rPr>
      <w:sz w:val="32"/>
    </w:rPr>
  </w:style>
  <w:style w:type="paragraph" w:styleId="4">
    <w:name w:val="Balloon Text"/>
    <w:basedOn w:val="1"/>
    <w:link w:val="15"/>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99"/>
    <w:rPr>
      <w:rFonts w:cs="Times New Roman"/>
    </w:rPr>
  </w:style>
  <w:style w:type="character" w:customStyle="1" w:styleId="12">
    <w:name w:val="页脚 字符"/>
    <w:link w:val="5"/>
    <w:semiHidden/>
    <w:qFormat/>
    <w:locked/>
    <w:uiPriority w:val="99"/>
    <w:rPr>
      <w:rFonts w:cs="Times New Roman"/>
      <w:sz w:val="18"/>
      <w:szCs w:val="18"/>
    </w:rPr>
  </w:style>
  <w:style w:type="character" w:customStyle="1" w:styleId="13">
    <w:name w:val="页眉 字符"/>
    <w:link w:val="6"/>
    <w:qFormat/>
    <w:locked/>
    <w:uiPriority w:val="99"/>
    <w:rPr>
      <w:rFonts w:cs="Times New Roman"/>
      <w:kern w:val="2"/>
      <w:sz w:val="18"/>
    </w:rPr>
  </w:style>
  <w:style w:type="character" w:customStyle="1" w:styleId="14">
    <w:name w:val="HTML 预设格式 字符"/>
    <w:link w:val="7"/>
    <w:semiHidden/>
    <w:qFormat/>
    <w:locked/>
    <w:uiPriority w:val="99"/>
    <w:rPr>
      <w:rFonts w:ascii="Courier New" w:hAnsi="Courier New" w:cs="Courier New"/>
      <w:sz w:val="20"/>
      <w:szCs w:val="20"/>
    </w:rPr>
  </w:style>
  <w:style w:type="character" w:customStyle="1" w:styleId="15">
    <w:name w:val="批注框文本 字符"/>
    <w:link w:val="4"/>
    <w:qFormat/>
    <w:locked/>
    <w:uiPriority w:val="99"/>
    <w:rPr>
      <w:rFonts w:cs="Times New Roman"/>
      <w:kern w:val="2"/>
      <w:sz w:val="18"/>
      <w:szCs w:val="18"/>
    </w:rPr>
  </w:style>
  <w:style w:type="paragraph" w:styleId="16">
    <w:name w:val="List Paragraph"/>
    <w:basedOn w:val="1"/>
    <w:qFormat/>
    <w:uiPriority w:val="99"/>
    <w:pPr>
      <w:ind w:firstLine="420" w:firstLineChars="200"/>
    </w:pPr>
  </w:style>
  <w:style w:type="character" w:customStyle="1" w:styleId="17">
    <w:name w:val="正文文本缩进 字符"/>
    <w:link w:val="3"/>
    <w:semiHidden/>
    <w:qFormat/>
    <w:locked/>
    <w:uiPriority w:val="99"/>
    <w:rPr>
      <w:rFonts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356</Words>
  <Characters>2033</Characters>
  <Lines>16</Lines>
  <Paragraphs>4</Paragraphs>
  <TotalTime>28</TotalTime>
  <ScaleCrop>false</ScaleCrop>
  <LinksUpToDate>false</LinksUpToDate>
  <CharactersWithSpaces>2385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2020-06-03T09:01:00Z</dcterms:created>
  <dc:creator>微软用户</dc:creator>
  <cp:lastModifiedBy>王庆会</cp:lastModifiedBy>
  <cp:lastPrinted>2019-08-23T00:12:00Z</cp:lastPrinted>
  <dcterms:modified xsi:type="dcterms:W3CDTF">2026-03-26T08:26:53Z</dcterms:modified>
  <dc:title>莱芜钢铁集团有限公司</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5C51EBC813F94A679D8E73143A70F724</vt:lpwstr>
  </property>
</Properties>
</file>