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00"/>
        </w:tabs>
        <w:autoSpaceDE w:val="0"/>
        <w:autoSpaceDN w:val="0"/>
        <w:adjustRightInd w:val="0"/>
        <w:spacing w:line="580" w:lineRule="exact"/>
        <w:jc w:val="center"/>
        <w:textAlignment w:val="center"/>
        <w:rPr>
          <w:rFonts w:hint="eastAsia" w:ascii="仿宋" w:hAnsi="仿宋" w:eastAsia="仿宋" w:cs="仿宋"/>
          <w:b/>
          <w:spacing w:val="45"/>
          <w:kern w:val="0"/>
          <w:sz w:val="36"/>
          <w:szCs w:val="36"/>
        </w:rPr>
      </w:pPr>
      <w:r>
        <w:rPr>
          <w:rFonts w:hint="eastAsia" w:ascii="仿宋" w:hAnsi="仿宋" w:eastAsia="仿宋" w:cs="仿宋"/>
          <w:b/>
          <w:spacing w:val="45"/>
          <w:kern w:val="0"/>
          <w:sz w:val="36"/>
          <w:szCs w:val="36"/>
        </w:rPr>
        <w:t>山东钢铁股份有限公司</w:t>
      </w:r>
    </w:p>
    <w:p>
      <w:pPr>
        <w:tabs>
          <w:tab w:val="left" w:pos="3000"/>
        </w:tabs>
        <w:autoSpaceDE w:val="0"/>
        <w:autoSpaceDN w:val="0"/>
        <w:spacing w:line="580" w:lineRule="exact"/>
        <w:jc w:val="center"/>
        <w:textAlignment w:val="center"/>
        <w:rPr>
          <w:rFonts w:hint="eastAsia" w:ascii="仿宋" w:hAnsi="仿宋" w:eastAsia="仿宋" w:cs="仿宋"/>
          <w:b/>
          <w:w w:val="90"/>
          <w:sz w:val="36"/>
          <w:szCs w:val="36"/>
        </w:rPr>
      </w:pPr>
      <w:r>
        <w:rPr>
          <w:rFonts w:hint="eastAsia" w:ascii="仿宋" w:hAnsi="仿宋" w:eastAsia="仿宋" w:cs="仿宋"/>
          <w:b/>
          <w:spacing w:val="45"/>
          <w:w w:val="90"/>
          <w:kern w:val="0"/>
          <w:sz w:val="36"/>
          <w:szCs w:val="36"/>
        </w:rPr>
        <w:t>型钢厂</w:t>
      </w:r>
      <w:r>
        <w:rPr>
          <w:rFonts w:hint="eastAsia" w:ascii="仿宋" w:hAnsi="仿宋" w:eastAsia="仿宋" w:cs="仿宋"/>
          <w:b/>
          <w:spacing w:val="45"/>
          <w:w w:val="90"/>
          <w:kern w:val="0"/>
          <w:sz w:val="36"/>
          <w:szCs w:val="36"/>
          <w:lang w:eastAsia="zh-CN"/>
        </w:rPr>
        <w:t>小型线后部收集</w:t>
      </w:r>
      <w:r>
        <w:rPr>
          <w:rFonts w:hint="eastAsia" w:ascii="仿宋" w:hAnsi="仿宋" w:eastAsia="仿宋" w:cs="仿宋"/>
          <w:b/>
          <w:spacing w:val="45"/>
          <w:w w:val="90"/>
          <w:kern w:val="0"/>
          <w:sz w:val="36"/>
          <w:szCs w:val="36"/>
        </w:rPr>
        <w:t>公开招标文件</w:t>
      </w:r>
    </w:p>
    <w:p>
      <w:pPr>
        <w:spacing w:line="560" w:lineRule="exact"/>
        <w:ind w:firstLine="555"/>
        <w:jc w:val="left"/>
        <w:rPr>
          <w:rFonts w:hint="eastAsia" w:ascii="仿宋" w:hAnsi="仿宋" w:eastAsia="仿宋" w:cs="仿宋"/>
          <w:kern w:val="0"/>
          <w:sz w:val="32"/>
          <w:szCs w:val="32"/>
        </w:rPr>
      </w:pPr>
    </w:p>
    <w:p>
      <w:pPr>
        <w:spacing w:line="560" w:lineRule="exact"/>
        <w:ind w:firstLine="555"/>
        <w:jc w:val="left"/>
        <w:rPr>
          <w:rFonts w:hint="eastAsia" w:ascii="仿宋" w:hAnsi="仿宋" w:eastAsia="仿宋" w:cs="仿宋"/>
          <w:kern w:val="0"/>
          <w:sz w:val="32"/>
          <w:szCs w:val="32"/>
        </w:rPr>
      </w:pPr>
      <w:r>
        <w:rPr>
          <w:rFonts w:hint="eastAsia" w:ascii="仿宋" w:hAnsi="仿宋" w:eastAsia="仿宋" w:cs="仿宋"/>
          <w:kern w:val="0"/>
          <w:sz w:val="32"/>
          <w:szCs w:val="32"/>
        </w:rPr>
        <w:t>为确保正常操作，按照公开公正公平原则，实行公开招标方式选择承揽单位。</w:t>
      </w: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招标</w:t>
      </w:r>
      <w:r>
        <w:rPr>
          <w:rFonts w:hint="eastAsia" w:ascii="仿宋" w:hAnsi="仿宋" w:eastAsia="仿宋" w:cs="仿宋"/>
          <w:b/>
          <w:bCs/>
          <w:sz w:val="32"/>
          <w:szCs w:val="32"/>
        </w:rPr>
        <w:t>单位</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山东钢铁股份有限公司</w:t>
      </w: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二、项目名称</w:t>
      </w:r>
    </w:p>
    <w:p>
      <w:pPr>
        <w:spacing w:line="560" w:lineRule="exact"/>
        <w:ind w:firstLine="756" w:firstLineChars="200"/>
        <w:rPr>
          <w:rFonts w:hint="eastAsia" w:ascii="仿宋" w:hAnsi="仿宋" w:eastAsia="仿宋" w:cs="仿宋"/>
          <w:bCs/>
          <w:color w:val="000000"/>
          <w:sz w:val="32"/>
          <w:szCs w:val="32"/>
        </w:rPr>
      </w:pPr>
      <w:r>
        <w:rPr>
          <w:rFonts w:hint="eastAsia" w:ascii="仿宋" w:hAnsi="仿宋" w:eastAsia="仿宋" w:cs="仿宋"/>
          <w:spacing w:val="45"/>
          <w:w w:val="90"/>
          <w:kern w:val="0"/>
          <w:sz w:val="32"/>
          <w:szCs w:val="32"/>
        </w:rPr>
        <w:t>型钢厂</w:t>
      </w:r>
      <w:r>
        <w:rPr>
          <w:rFonts w:hint="eastAsia" w:ascii="仿宋" w:hAnsi="仿宋" w:eastAsia="仿宋" w:cs="仿宋"/>
          <w:spacing w:val="45"/>
          <w:w w:val="90"/>
          <w:kern w:val="0"/>
          <w:sz w:val="32"/>
          <w:szCs w:val="32"/>
          <w:lang w:eastAsia="zh-CN"/>
        </w:rPr>
        <w:t>小型线后部收集</w:t>
      </w:r>
      <w:r>
        <w:rPr>
          <w:rFonts w:hint="eastAsia" w:ascii="仿宋" w:hAnsi="仿宋" w:eastAsia="仿宋" w:cs="仿宋"/>
          <w:spacing w:val="45"/>
          <w:w w:val="90"/>
          <w:kern w:val="0"/>
          <w:sz w:val="32"/>
          <w:szCs w:val="32"/>
        </w:rPr>
        <w:t>业务</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lang w:val="en-US" w:eastAsia="zh-CN"/>
        </w:rPr>
        <w:t>招标</w:t>
      </w:r>
      <w:r>
        <w:rPr>
          <w:rFonts w:hint="eastAsia" w:ascii="仿宋" w:hAnsi="仿宋" w:eastAsia="仿宋" w:cs="仿宋"/>
          <w:b/>
          <w:bCs/>
          <w:sz w:val="32"/>
          <w:szCs w:val="32"/>
        </w:rPr>
        <w:t>内容及服务要求</w:t>
      </w:r>
    </w:p>
    <w:p>
      <w:pPr>
        <w:autoSpaceDE w:val="0"/>
        <w:autoSpaceDN w:val="0"/>
        <w:adjustRightInd w:val="0"/>
        <w:spacing w:line="560" w:lineRule="exact"/>
        <w:ind w:firstLine="480" w:firstLineChars="150"/>
        <w:jc w:val="left"/>
        <w:textAlignment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（一）区域位置：型钢厂</w:t>
      </w:r>
      <w:r>
        <w:rPr>
          <w:rFonts w:hint="eastAsia" w:ascii="仿宋" w:hAnsi="仿宋" w:eastAsia="仿宋" w:cs="仿宋"/>
          <w:color w:val="000000"/>
          <w:kern w:val="0"/>
          <w:sz w:val="32"/>
          <w:szCs w:val="32"/>
          <w:lang w:eastAsia="zh-CN"/>
        </w:rPr>
        <w:t>小型线</w:t>
      </w:r>
      <w:r>
        <w:rPr>
          <w:rFonts w:hint="eastAsia" w:ascii="仿宋" w:hAnsi="仿宋" w:eastAsia="仿宋" w:cs="仿宋"/>
          <w:color w:val="000000"/>
          <w:kern w:val="0"/>
          <w:sz w:val="32"/>
          <w:szCs w:val="32"/>
          <w:lang w:val="en-US" w:eastAsia="zh-CN"/>
        </w:rPr>
        <w:t>。</w:t>
      </w:r>
    </w:p>
    <w:p>
      <w:pPr>
        <w:autoSpaceDE w:val="0"/>
        <w:autoSpaceDN w:val="0"/>
        <w:adjustRightInd w:val="0"/>
        <w:spacing w:line="580" w:lineRule="exact"/>
        <w:ind w:firstLine="480" w:firstLineChars="150"/>
        <w:jc w:val="left"/>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（二）业务承揽要求：</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1、</w:t>
      </w:r>
      <w:r>
        <w:rPr>
          <w:rFonts w:hint="eastAsia" w:ascii="仿宋" w:hAnsi="仿宋" w:eastAsia="仿宋" w:cs="仿宋"/>
          <w:color w:val="000000"/>
          <w:kern w:val="0"/>
          <w:sz w:val="32"/>
          <w:szCs w:val="32"/>
        </w:rPr>
        <w:t>在型钢厂生产线区域范围内，以“区域承包，自主管理”的原则，从事并按照质量管理要求完成</w:t>
      </w:r>
      <w:r>
        <w:rPr>
          <w:rFonts w:hint="eastAsia" w:ascii="仿宋" w:hAnsi="仿宋" w:eastAsia="仿宋" w:cs="仿宋"/>
          <w:color w:val="000000"/>
          <w:kern w:val="0"/>
          <w:sz w:val="32"/>
          <w:szCs w:val="32"/>
          <w:lang w:val="en-US" w:eastAsia="zh-CN"/>
        </w:rPr>
        <w:t>小型线</w:t>
      </w:r>
      <w:r>
        <w:rPr>
          <w:rFonts w:hint="eastAsia" w:ascii="仿宋" w:hAnsi="仿宋" w:eastAsia="仿宋" w:cs="仿宋"/>
          <w:color w:val="000000"/>
          <w:sz w:val="32"/>
          <w:szCs w:val="32"/>
        </w:rPr>
        <w:t>后部</w:t>
      </w:r>
      <w:r>
        <w:rPr>
          <w:rFonts w:hint="eastAsia" w:ascii="仿宋" w:hAnsi="仿宋" w:eastAsia="仿宋" w:cs="仿宋"/>
          <w:color w:val="000000"/>
          <w:sz w:val="32"/>
          <w:szCs w:val="32"/>
          <w:lang w:eastAsia="zh-CN"/>
        </w:rPr>
        <w:t>收集</w:t>
      </w:r>
      <w:r>
        <w:rPr>
          <w:rFonts w:hint="eastAsia" w:ascii="仿宋" w:hAnsi="仿宋" w:eastAsia="仿宋" w:cs="仿宋"/>
          <w:color w:val="000000"/>
          <w:sz w:val="32"/>
          <w:szCs w:val="32"/>
        </w:rPr>
        <w:t>工序钢材精整。</w:t>
      </w:r>
      <w:bookmarkStart w:id="0" w:name="OLE_LINK1"/>
      <w:r>
        <w:rPr>
          <w:rFonts w:hint="eastAsia" w:ascii="仿宋" w:hAnsi="仿宋" w:eastAsia="仿宋" w:cs="仿宋"/>
          <w:color w:val="000000"/>
          <w:sz w:val="32"/>
          <w:szCs w:val="32"/>
        </w:rPr>
        <w:t>主要包括精整区域的</w:t>
      </w:r>
      <w:r>
        <w:rPr>
          <w:rFonts w:hint="eastAsia" w:ascii="仿宋" w:hAnsi="仿宋" w:eastAsia="仿宋" w:cs="仿宋"/>
          <w:color w:val="000000"/>
          <w:sz w:val="32"/>
          <w:szCs w:val="32"/>
          <w:lang w:eastAsia="zh-CN"/>
        </w:rPr>
        <w:t>成品收集打捆、紧捆、</w:t>
      </w:r>
      <w:r>
        <w:rPr>
          <w:rFonts w:hint="eastAsia" w:ascii="仿宋" w:hAnsi="仿宋" w:eastAsia="仿宋" w:cs="仿宋"/>
          <w:color w:val="000000"/>
          <w:sz w:val="32"/>
          <w:szCs w:val="32"/>
        </w:rPr>
        <w:t>收集</w:t>
      </w:r>
      <w:r>
        <w:rPr>
          <w:rFonts w:hint="eastAsia" w:ascii="仿宋" w:hAnsi="仿宋" w:eastAsia="仿宋" w:cs="仿宋"/>
          <w:color w:val="000000"/>
          <w:sz w:val="32"/>
          <w:szCs w:val="32"/>
          <w:lang w:eastAsia="zh-CN"/>
        </w:rPr>
        <w:t>台架冷检、离线立辊装配，</w:t>
      </w:r>
      <w:r>
        <w:rPr>
          <w:rFonts w:hint="eastAsia" w:ascii="仿宋" w:hAnsi="仿宋" w:eastAsia="仿宋" w:cs="仿宋"/>
          <w:color w:val="000000"/>
          <w:sz w:val="32"/>
          <w:szCs w:val="32"/>
          <w:lang w:val="en-US" w:eastAsia="zh-CN"/>
        </w:rPr>
        <w:t>并完成</w:t>
      </w:r>
      <w:r>
        <w:rPr>
          <w:rFonts w:hint="eastAsia" w:ascii="仿宋" w:hAnsi="仿宋" w:eastAsia="仿宋" w:cs="仿宋"/>
          <w:color w:val="000000"/>
          <w:sz w:val="32"/>
          <w:szCs w:val="32"/>
          <w:lang w:eastAsia="zh-CN"/>
        </w:rPr>
        <w:t>承包</w:t>
      </w:r>
      <w:r>
        <w:rPr>
          <w:rFonts w:hint="eastAsia" w:ascii="仿宋" w:hAnsi="仿宋" w:eastAsia="仿宋" w:cs="仿宋"/>
          <w:color w:val="000000"/>
          <w:sz w:val="32"/>
          <w:szCs w:val="32"/>
        </w:rPr>
        <w:t>区域</w:t>
      </w:r>
      <w:r>
        <w:rPr>
          <w:rFonts w:hint="eastAsia" w:ascii="仿宋" w:hAnsi="仿宋" w:eastAsia="仿宋" w:cs="仿宋"/>
          <w:color w:val="000000"/>
          <w:sz w:val="32"/>
          <w:szCs w:val="32"/>
          <w:lang w:val="en-US" w:eastAsia="zh-CN"/>
        </w:rPr>
        <w:t>内</w:t>
      </w:r>
      <w:r>
        <w:rPr>
          <w:rFonts w:hint="eastAsia" w:ascii="仿宋" w:hAnsi="仿宋" w:eastAsia="仿宋" w:cs="仿宋"/>
          <w:color w:val="000000"/>
          <w:sz w:val="32"/>
          <w:szCs w:val="32"/>
          <w:lang w:eastAsia="zh-CN"/>
        </w:rPr>
        <w:t>日常</w:t>
      </w:r>
      <w:r>
        <w:rPr>
          <w:rFonts w:hint="eastAsia" w:ascii="仿宋" w:hAnsi="仿宋" w:eastAsia="仿宋" w:cs="仿宋"/>
          <w:color w:val="000000"/>
          <w:sz w:val="32"/>
          <w:szCs w:val="32"/>
        </w:rPr>
        <w:t>清理</w:t>
      </w:r>
      <w:r>
        <w:rPr>
          <w:rFonts w:hint="eastAsia" w:ascii="仿宋" w:hAnsi="仿宋" w:eastAsia="仿宋" w:cs="仿宋"/>
          <w:color w:val="000000"/>
          <w:sz w:val="32"/>
          <w:szCs w:val="32"/>
          <w:lang w:eastAsia="zh-CN"/>
        </w:rPr>
        <w:t>紧固润滑</w:t>
      </w:r>
      <w:r>
        <w:rPr>
          <w:rFonts w:hint="eastAsia" w:ascii="仿宋" w:hAnsi="仿宋" w:eastAsia="仿宋" w:cs="仿宋"/>
          <w:color w:val="000000"/>
          <w:sz w:val="32"/>
          <w:szCs w:val="32"/>
        </w:rPr>
        <w:t>等</w:t>
      </w:r>
      <w:r>
        <w:rPr>
          <w:rFonts w:hint="eastAsia" w:ascii="仿宋" w:hAnsi="仿宋" w:eastAsia="仿宋" w:cs="仿宋"/>
          <w:color w:val="000000"/>
          <w:sz w:val="32"/>
          <w:szCs w:val="32"/>
          <w:lang w:eastAsia="zh-CN"/>
        </w:rPr>
        <w:t>现场管理工作以及检修、大修期间车间安排的清理工作</w:t>
      </w:r>
      <w:r>
        <w:rPr>
          <w:rFonts w:hint="eastAsia" w:ascii="仿宋" w:hAnsi="仿宋" w:eastAsia="仿宋" w:cs="仿宋"/>
          <w:color w:val="000000"/>
          <w:sz w:val="32"/>
          <w:szCs w:val="32"/>
        </w:rPr>
        <w:t>。</w:t>
      </w:r>
      <w:bookmarkEnd w:id="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2563"/>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序号</w:t>
            </w:r>
          </w:p>
        </w:tc>
        <w:tc>
          <w:tcPr>
            <w:tcW w:w="2563"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岗位名称</w:t>
            </w:r>
          </w:p>
        </w:tc>
        <w:tc>
          <w:tcPr>
            <w:tcW w:w="1812"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人数</w:t>
            </w:r>
          </w:p>
        </w:tc>
        <w:tc>
          <w:tcPr>
            <w:tcW w:w="1812"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班制</w:t>
            </w:r>
          </w:p>
        </w:tc>
        <w:tc>
          <w:tcPr>
            <w:tcW w:w="1812"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1</w:t>
            </w:r>
          </w:p>
        </w:tc>
        <w:tc>
          <w:tcPr>
            <w:tcW w:w="2563"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成品收集打捆</w:t>
            </w:r>
          </w:p>
        </w:tc>
        <w:tc>
          <w:tcPr>
            <w:tcW w:w="1812"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4人/班</w:t>
            </w:r>
          </w:p>
        </w:tc>
        <w:tc>
          <w:tcPr>
            <w:tcW w:w="1812"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四班三运+1常白</w:t>
            </w:r>
          </w:p>
        </w:tc>
        <w:tc>
          <w:tcPr>
            <w:tcW w:w="1812" w:type="dxa"/>
            <w:vAlign w:val="center"/>
          </w:tcPr>
          <w:p>
            <w:pPr>
              <w:spacing w:line="560" w:lineRule="exact"/>
              <w:jc w:val="center"/>
              <w:rPr>
                <w:rFonts w:hint="eastAsia" w:ascii="仿宋" w:hAnsi="仿宋" w:eastAsia="仿宋" w:cs="仿宋"/>
                <w:color w:val="000000"/>
                <w:sz w:val="32"/>
                <w:szCs w:val="32"/>
                <w:vertAlign w:val="baseline"/>
              </w:rPr>
            </w:pPr>
            <w:r>
              <w:rPr>
                <w:rFonts w:hint="eastAsia" w:ascii="仿宋" w:hAnsi="仿宋" w:eastAsia="仿宋" w:cs="仿宋"/>
                <w:color w:val="000000"/>
                <w:sz w:val="32"/>
                <w:szCs w:val="32"/>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2</w:t>
            </w:r>
          </w:p>
        </w:tc>
        <w:tc>
          <w:tcPr>
            <w:tcW w:w="2563"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紧捆</w:t>
            </w:r>
          </w:p>
        </w:tc>
        <w:tc>
          <w:tcPr>
            <w:tcW w:w="1812"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1人/班</w:t>
            </w:r>
          </w:p>
        </w:tc>
        <w:tc>
          <w:tcPr>
            <w:tcW w:w="1812"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四班三运</w:t>
            </w:r>
          </w:p>
        </w:tc>
        <w:tc>
          <w:tcPr>
            <w:tcW w:w="1812" w:type="dxa"/>
            <w:vAlign w:val="center"/>
          </w:tcPr>
          <w:p>
            <w:pPr>
              <w:spacing w:line="560" w:lineRule="exact"/>
              <w:jc w:val="center"/>
              <w:rPr>
                <w:rFonts w:hint="eastAsia" w:ascii="仿宋" w:hAnsi="仿宋" w:eastAsia="仿宋" w:cs="仿宋"/>
                <w:color w:val="000000"/>
                <w:sz w:val="32"/>
                <w:szCs w:val="32"/>
                <w:vertAlign w:val="baseline"/>
              </w:rPr>
            </w:pPr>
            <w:r>
              <w:rPr>
                <w:rFonts w:hint="eastAsia" w:ascii="仿宋" w:hAnsi="仿宋" w:eastAsia="仿宋" w:cs="仿宋"/>
                <w:color w:val="000000"/>
                <w:sz w:val="32"/>
                <w:szCs w:val="3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3</w:t>
            </w:r>
          </w:p>
        </w:tc>
        <w:tc>
          <w:tcPr>
            <w:tcW w:w="2563"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收集台架冷检</w:t>
            </w:r>
          </w:p>
        </w:tc>
        <w:tc>
          <w:tcPr>
            <w:tcW w:w="1812"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2人/班</w:t>
            </w:r>
          </w:p>
        </w:tc>
        <w:tc>
          <w:tcPr>
            <w:tcW w:w="1812"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四班三运</w:t>
            </w:r>
          </w:p>
        </w:tc>
        <w:tc>
          <w:tcPr>
            <w:tcW w:w="1812" w:type="dxa"/>
            <w:vAlign w:val="center"/>
          </w:tcPr>
          <w:p>
            <w:pPr>
              <w:spacing w:line="560" w:lineRule="exact"/>
              <w:jc w:val="center"/>
              <w:rPr>
                <w:rFonts w:hint="eastAsia" w:ascii="仿宋" w:hAnsi="仿宋" w:eastAsia="仿宋" w:cs="仿宋"/>
                <w:color w:val="000000"/>
                <w:sz w:val="32"/>
                <w:szCs w:val="32"/>
                <w:vertAlign w:val="baseline"/>
              </w:rPr>
            </w:pPr>
            <w:r>
              <w:rPr>
                <w:rFonts w:hint="eastAsia" w:ascii="仿宋" w:hAnsi="仿宋" w:eastAsia="仿宋" w:cs="仿宋"/>
                <w:color w:val="000000"/>
                <w:sz w:val="32"/>
                <w:szCs w:val="32"/>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4</w:t>
            </w:r>
          </w:p>
        </w:tc>
        <w:tc>
          <w:tcPr>
            <w:tcW w:w="2563"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立辊装配</w:t>
            </w:r>
          </w:p>
        </w:tc>
        <w:tc>
          <w:tcPr>
            <w:tcW w:w="1812"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4人</w:t>
            </w:r>
          </w:p>
        </w:tc>
        <w:tc>
          <w:tcPr>
            <w:tcW w:w="1812"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常白</w:t>
            </w:r>
          </w:p>
        </w:tc>
        <w:tc>
          <w:tcPr>
            <w:tcW w:w="1812" w:type="dxa"/>
            <w:vAlign w:val="center"/>
          </w:tcPr>
          <w:p>
            <w:pPr>
              <w:spacing w:line="560" w:lineRule="exact"/>
              <w:jc w:val="center"/>
              <w:rPr>
                <w:rFonts w:hint="eastAsia" w:ascii="仿宋" w:hAnsi="仿宋" w:eastAsia="仿宋" w:cs="仿宋"/>
                <w:color w:val="000000"/>
                <w:sz w:val="32"/>
                <w:szCs w:val="32"/>
                <w:vertAlign w:val="baseline"/>
              </w:rPr>
            </w:pPr>
            <w:r>
              <w:rPr>
                <w:rFonts w:hint="eastAsia" w:ascii="仿宋" w:hAnsi="仿宋" w:eastAsia="仿宋" w:cs="仿宋"/>
                <w:color w:val="000000"/>
                <w:sz w:val="32"/>
                <w:szCs w:val="3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5</w:t>
            </w:r>
          </w:p>
        </w:tc>
        <w:tc>
          <w:tcPr>
            <w:tcW w:w="2563"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val="en-US" w:eastAsia="zh-CN"/>
              </w:rPr>
              <w:t>安全</w:t>
            </w:r>
            <w:r>
              <w:rPr>
                <w:rFonts w:hint="eastAsia" w:ascii="仿宋" w:hAnsi="仿宋" w:eastAsia="仿宋" w:cs="仿宋"/>
                <w:color w:val="000000"/>
                <w:sz w:val="32"/>
                <w:szCs w:val="32"/>
                <w:vertAlign w:val="baseline"/>
                <w:lang w:eastAsia="zh-CN"/>
              </w:rPr>
              <w:t>管理</w:t>
            </w:r>
          </w:p>
        </w:tc>
        <w:tc>
          <w:tcPr>
            <w:tcW w:w="1812" w:type="dxa"/>
            <w:vAlign w:val="center"/>
          </w:tcPr>
          <w:p>
            <w:pPr>
              <w:spacing w:line="560" w:lineRule="exact"/>
              <w:jc w:val="center"/>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1人</w:t>
            </w:r>
          </w:p>
        </w:tc>
        <w:tc>
          <w:tcPr>
            <w:tcW w:w="1812" w:type="dxa"/>
            <w:vAlign w:val="center"/>
          </w:tcPr>
          <w:p>
            <w:pPr>
              <w:spacing w:line="560" w:lineRule="exact"/>
              <w:jc w:val="center"/>
              <w:rPr>
                <w:rFonts w:hint="eastAsia" w:ascii="仿宋" w:hAnsi="仿宋" w:eastAsia="仿宋" w:cs="仿宋"/>
                <w:color w:val="000000"/>
                <w:sz w:val="32"/>
                <w:szCs w:val="32"/>
                <w:vertAlign w:val="baseline"/>
                <w:lang w:eastAsia="zh-CN"/>
              </w:rPr>
            </w:pPr>
            <w:r>
              <w:rPr>
                <w:rFonts w:hint="eastAsia" w:ascii="仿宋" w:hAnsi="仿宋" w:eastAsia="仿宋" w:cs="仿宋"/>
                <w:color w:val="000000"/>
                <w:sz w:val="32"/>
                <w:szCs w:val="32"/>
                <w:vertAlign w:val="baseline"/>
                <w:lang w:eastAsia="zh-CN"/>
              </w:rPr>
              <w:t>常白</w:t>
            </w:r>
          </w:p>
        </w:tc>
        <w:tc>
          <w:tcPr>
            <w:tcW w:w="1812" w:type="dxa"/>
            <w:vAlign w:val="center"/>
          </w:tcPr>
          <w:p>
            <w:pPr>
              <w:spacing w:line="560" w:lineRule="exact"/>
              <w:jc w:val="center"/>
              <w:rPr>
                <w:rFonts w:hint="eastAsia" w:ascii="仿宋" w:hAnsi="仿宋" w:eastAsia="仿宋" w:cs="仿宋"/>
                <w:color w:val="000000"/>
                <w:sz w:val="32"/>
                <w:szCs w:val="32"/>
                <w:vertAlign w:val="baseline"/>
              </w:rPr>
            </w:pPr>
            <w:r>
              <w:rPr>
                <w:rFonts w:hint="eastAsia" w:ascii="仿宋" w:hAnsi="仿宋" w:eastAsia="仿宋" w:cs="仿宋"/>
                <w:color w:val="000000"/>
                <w:sz w:val="32"/>
                <w:szCs w:val="32"/>
                <w:vertAlign w:val="baseline"/>
                <w:lang w:val="en-US" w:eastAsia="zh-CN"/>
              </w:rPr>
              <w:t>1</w:t>
            </w:r>
          </w:p>
        </w:tc>
      </w:tr>
    </w:tbl>
    <w:p>
      <w:pPr>
        <w:spacing w:line="560" w:lineRule="exact"/>
        <w:ind w:firstLine="640" w:firstLineChars="200"/>
        <w:rPr>
          <w:rFonts w:hint="eastAsia" w:ascii="仿宋" w:hAnsi="仿宋" w:eastAsia="仿宋" w:cs="仿宋"/>
          <w:color w:val="000000"/>
          <w:szCs w:val="21"/>
        </w:rPr>
      </w:pPr>
      <w:r>
        <w:rPr>
          <w:rFonts w:hint="eastAsia" w:ascii="仿宋" w:hAnsi="仿宋" w:eastAsia="仿宋" w:cs="仿宋"/>
          <w:sz w:val="32"/>
          <w:szCs w:val="32"/>
        </w:rPr>
        <w:t>2、</w:t>
      </w:r>
      <w:r>
        <w:rPr>
          <w:rFonts w:hint="eastAsia" w:ascii="仿宋" w:hAnsi="仿宋" w:eastAsia="仿宋" w:cs="仿宋"/>
          <w:color w:val="000000"/>
          <w:sz w:val="32"/>
          <w:szCs w:val="32"/>
          <w:lang w:eastAsia="zh-CN"/>
        </w:rPr>
        <w:t>待料检修期间协助小型轧钢车间进行加热、轧线等区域的清理工作</w:t>
      </w:r>
      <w:r>
        <w:rPr>
          <w:rFonts w:hint="eastAsia" w:ascii="仿宋" w:hAnsi="仿宋" w:eastAsia="仿宋" w:cs="仿宋"/>
          <w:color w:val="000000"/>
          <w:sz w:val="32"/>
          <w:szCs w:val="32"/>
        </w:rPr>
        <w:t>。</w:t>
      </w:r>
    </w:p>
    <w:p>
      <w:pPr>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包月</w:t>
      </w:r>
      <w:r>
        <w:rPr>
          <w:rFonts w:hint="eastAsia" w:ascii="仿宋" w:hAnsi="仿宋" w:eastAsia="仿宋" w:cs="仿宋"/>
          <w:color w:val="000000"/>
          <w:sz w:val="32"/>
          <w:szCs w:val="32"/>
        </w:rPr>
        <w:t>结算</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采用银行承兑汇票的方式进行结算。</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auto"/>
          <w:kern w:val="0"/>
          <w:sz w:val="32"/>
          <w:szCs w:val="32"/>
        </w:rPr>
        <w:t>人员要求：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000000"/>
          <w:sz w:val="32"/>
          <w:szCs w:val="32"/>
          <w:lang w:val="en-US" w:eastAsia="zh-CN"/>
        </w:rPr>
        <w:t>（1）年龄小于60周岁，</w:t>
      </w:r>
      <w:r>
        <w:rPr>
          <w:rFonts w:hint="eastAsia" w:ascii="仿宋" w:hAnsi="仿宋" w:eastAsia="仿宋" w:cs="仿宋"/>
          <w:color w:val="auto"/>
          <w:kern w:val="0"/>
          <w:sz w:val="32"/>
          <w:szCs w:val="32"/>
        </w:rPr>
        <w:t>身体健康，无职业禁忌症。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涉及特殊工种岗位人员，需有相应的有效资格证书。</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人员要求保持较高的稳定性，如果变换人员，经考核合格后方可替换。</w:t>
      </w:r>
    </w:p>
    <w:p>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、可以根据公司人力资源优化情况适时开展反向劳务输出及共享用工。</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、涉及车辆机具的可以根据公司的环保要求及时更换符合要求的车辆机具。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7、</w:t>
      </w:r>
      <w:r>
        <w:rPr>
          <w:rFonts w:hint="eastAsia" w:ascii="仿宋_GB2312" w:hAnsi="仿宋_GB2312" w:eastAsia="仿宋_GB2312" w:cs="仿宋_GB2312"/>
          <w:color w:val="auto"/>
          <w:sz w:val="32"/>
          <w:szCs w:val="32"/>
          <w:lang w:val="en-US" w:eastAsia="zh-CN"/>
        </w:rPr>
        <w:t>承揽方是承包业务安全生产、环境保护和综合治理的责任主体，对所承包业务的安全生产、环境保护和综合治理工作全面负责，并对未履行安全生产、环境保护和综合治理主体责任导致的后果负责。承揽方应遵守国家相关安全环保法律法规及发包方安全环保制度，双方签订《安全环保协议书》。</w:t>
      </w:r>
    </w:p>
    <w:p>
      <w:pPr>
        <w:keepNext w:val="0"/>
        <w:keepLines w:val="0"/>
        <w:pageBreakBefore w:val="0"/>
        <w:kinsoku/>
        <w:wordWrap/>
        <w:overflowPunct/>
        <w:topLinePunct w:val="0"/>
        <w:bidi w:val="0"/>
        <w:snapToGrid/>
        <w:spacing w:line="560" w:lineRule="exact"/>
        <w:ind w:firstLine="640" w:firstLineChars="200"/>
        <w:jc w:val="left"/>
        <w:rPr>
          <w:rFonts w:hint="eastAsia" w:ascii="仿宋" w:hAnsi="仿宋" w:eastAsia="仿宋" w:cs="仿宋"/>
        </w:rPr>
      </w:pPr>
      <w:r>
        <w:rPr>
          <w:rFonts w:hint="eastAsia" w:ascii="仿宋" w:hAnsi="仿宋" w:eastAsia="仿宋" w:cs="仿宋"/>
          <w:color w:val="auto"/>
          <w:sz w:val="32"/>
          <w:szCs w:val="32"/>
          <w:lang w:val="en-US" w:eastAsia="zh-CN"/>
        </w:rPr>
        <w:t>8、本项目执行期2026年6月1日至2027年5月31日。合同期满，经双方协商，可续签合同。招标方根据生产经营变化，有权提前终止合同。</w:t>
      </w:r>
    </w:p>
    <w:p>
      <w:pPr>
        <w:spacing w:line="560" w:lineRule="exact"/>
        <w:ind w:firstLine="570"/>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b/>
          <w:bCs/>
          <w:sz w:val="32"/>
          <w:szCs w:val="32"/>
          <w:lang w:val="en-US" w:eastAsia="zh-CN"/>
        </w:rPr>
        <w:t>招标</w:t>
      </w:r>
      <w:r>
        <w:rPr>
          <w:rFonts w:hint="eastAsia" w:ascii="仿宋" w:hAnsi="仿宋" w:eastAsia="仿宋" w:cs="仿宋"/>
          <w:b/>
          <w:bCs/>
          <w:sz w:val="32"/>
          <w:szCs w:val="32"/>
        </w:rPr>
        <w:t>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采取</w:t>
      </w:r>
      <w:r>
        <w:rPr>
          <w:rFonts w:hint="eastAsia" w:ascii="仿宋" w:hAnsi="仿宋" w:eastAsia="仿宋" w:cs="仿宋"/>
          <w:sz w:val="32"/>
          <w:szCs w:val="32"/>
        </w:rPr>
        <w:t>公开招标</w:t>
      </w:r>
      <w:r>
        <w:rPr>
          <w:rFonts w:hint="eastAsia" w:ascii="仿宋" w:hAnsi="仿宋" w:eastAsia="仿宋" w:cs="仿宋"/>
          <w:sz w:val="32"/>
          <w:szCs w:val="32"/>
          <w:lang w:val="en-US" w:eastAsia="zh-CN"/>
        </w:rPr>
        <w:t>的方式进行招标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拟招1家单位</w:t>
      </w:r>
      <w:r>
        <w:rPr>
          <w:rFonts w:hint="eastAsia" w:ascii="仿宋" w:hAnsi="仿宋" w:eastAsia="仿宋" w:cs="仿宋"/>
          <w:sz w:val="32"/>
          <w:szCs w:val="32"/>
        </w:rPr>
        <w:t>。</w:t>
      </w:r>
    </w:p>
    <w:p>
      <w:pPr>
        <w:spacing w:line="56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五、投标报价要求</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1.投标报价均为不含税价格。</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 w:hAnsi="仿宋" w:eastAsia="仿宋" w:cs="仿宋"/>
        </w:rPr>
      </w:pPr>
      <w:r>
        <w:rPr>
          <w:rFonts w:hint="eastAsia" w:ascii="仿宋" w:hAnsi="仿宋" w:eastAsia="仿宋" w:cs="仿宋"/>
          <w:color w:val="auto"/>
          <w:sz w:val="32"/>
          <w:szCs w:val="32"/>
          <w:highlight w:val="none"/>
          <w:lang w:val="en-US" w:eastAsia="zh-CN"/>
        </w:rPr>
        <w:t>2.结算税率按照国家相关制度要求执行，如遇国家税率调整，在不含税价格基础上执行新的税率。</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六、单位资格审查条件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（一）符合国家规定行业标准，依法取得</w:t>
      </w:r>
      <w:r>
        <w:rPr>
          <w:rFonts w:hint="eastAsia" w:ascii="仿宋" w:hAnsi="仿宋" w:eastAsia="仿宋" w:cs="仿宋"/>
          <w:sz w:val="32"/>
          <w:szCs w:val="32"/>
          <w:lang w:val="en-US" w:eastAsia="zh-CN"/>
        </w:rPr>
        <w:t>营业执照，具备劳务服务</w:t>
      </w:r>
      <w:r>
        <w:rPr>
          <w:rFonts w:hint="eastAsia" w:ascii="仿宋" w:hAnsi="仿宋" w:eastAsia="仿宋" w:cs="仿宋"/>
          <w:sz w:val="32"/>
          <w:szCs w:val="32"/>
        </w:rPr>
        <w:t>等相关资质。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（二）具有一定资金基础，注册资金在</w:t>
      </w:r>
      <w:r>
        <w:rPr>
          <w:rFonts w:hint="eastAsia" w:ascii="仿宋" w:hAnsi="仿宋" w:eastAsia="仿宋" w:cs="仿宋"/>
          <w:sz w:val="32"/>
          <w:szCs w:val="32"/>
          <w:lang w:val="en-US" w:eastAsia="zh-CN"/>
        </w:rPr>
        <w:t>5</w:t>
      </w:r>
      <w:r>
        <w:rPr>
          <w:rFonts w:hint="eastAsia" w:ascii="仿宋" w:hAnsi="仿宋" w:eastAsia="仿宋" w:cs="仿宋"/>
          <w:sz w:val="32"/>
          <w:szCs w:val="32"/>
        </w:rPr>
        <w:t>00万元以上。</w:t>
      </w:r>
    </w:p>
    <w:p>
      <w:pPr>
        <w:spacing w:line="560" w:lineRule="exact"/>
        <w:ind w:firstLine="640" w:firstLineChars="200"/>
        <w:rPr>
          <w:rFonts w:ascii="仿宋_GB2312" w:hAnsi="宋体" w:eastAsia="仿宋_GB2312"/>
          <w:sz w:val="32"/>
          <w:szCs w:val="32"/>
        </w:rPr>
      </w:pPr>
      <w:r>
        <w:rPr>
          <w:rFonts w:hint="eastAsia" w:ascii="仿宋" w:hAnsi="仿宋" w:eastAsia="仿宋" w:cs="仿宋"/>
          <w:sz w:val="32"/>
          <w:szCs w:val="32"/>
        </w:rPr>
        <w:t>（三）</w:t>
      </w:r>
      <w:r>
        <w:rPr>
          <w:rFonts w:hint="eastAsia" w:ascii="仿宋_GB2312" w:hAnsi="宋体" w:eastAsia="仿宋_GB2312"/>
          <w:sz w:val="32"/>
          <w:szCs w:val="32"/>
        </w:rPr>
        <w:t>具有从事相关业务经验</w:t>
      </w:r>
      <w:r>
        <w:rPr>
          <w:rFonts w:hint="eastAsia" w:ascii="仿宋_GB2312" w:hAnsi="宋体" w:eastAsia="仿宋_GB2312"/>
          <w:color w:val="auto"/>
          <w:sz w:val="32"/>
          <w:szCs w:val="32"/>
        </w:rPr>
        <w:t>和业绩</w:t>
      </w:r>
      <w:r>
        <w:rPr>
          <w:rFonts w:hint="eastAsia" w:ascii="仿宋_GB2312" w:hAnsi="宋体" w:eastAsia="仿宋_GB2312"/>
          <w:color w:val="auto"/>
          <w:sz w:val="32"/>
          <w:szCs w:val="32"/>
          <w:lang w:eastAsia="zh-CN"/>
        </w:rPr>
        <w:t>（至少</w:t>
      </w:r>
      <w:r>
        <w:rPr>
          <w:rFonts w:hint="eastAsia" w:ascii="仿宋_GB2312" w:hAnsi="宋体" w:eastAsia="仿宋_GB2312"/>
          <w:color w:val="auto"/>
          <w:sz w:val="32"/>
          <w:szCs w:val="32"/>
          <w:lang w:val="en-US" w:eastAsia="zh-CN"/>
        </w:rPr>
        <w:t>2023年1月1日以来签订的</w:t>
      </w:r>
      <w:r>
        <w:rPr>
          <w:rFonts w:hint="eastAsia" w:ascii="仿宋_GB2312" w:hAnsi="宋体" w:eastAsia="仿宋_GB2312"/>
          <w:color w:val="auto"/>
          <w:sz w:val="32"/>
          <w:szCs w:val="32"/>
          <w:lang w:eastAsia="zh-CN"/>
        </w:rPr>
        <w:t>一份业务相关或近似的合同）</w:t>
      </w:r>
      <w:r>
        <w:rPr>
          <w:rFonts w:hint="eastAsia" w:ascii="仿宋_GB2312" w:hAnsi="宋体" w:eastAsia="仿宋_GB2312"/>
          <w:color w:val="auto"/>
          <w:sz w:val="32"/>
          <w:szCs w:val="32"/>
        </w:rPr>
        <w:t>，</w:t>
      </w:r>
      <w:r>
        <w:rPr>
          <w:rFonts w:hint="eastAsia" w:ascii="仿宋_GB2312" w:hAnsi="宋体" w:eastAsia="仿宋_GB2312"/>
          <w:sz w:val="32"/>
          <w:szCs w:val="32"/>
        </w:rPr>
        <w:t>管理、安全、服务体系健全。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（四）具有满足相关业务需要的足量资源，能保证日常业务和应急任务开展。</w:t>
      </w:r>
    </w:p>
    <w:p>
      <w:pPr>
        <w:spacing w:line="560" w:lineRule="exact"/>
        <w:ind w:firstLine="640" w:firstLineChars="200"/>
        <w:rPr>
          <w:rFonts w:hint="eastAsia" w:ascii="仿宋_GB2312" w:hAnsi="宋体" w:eastAsia="仿宋_GB2312"/>
          <w:sz w:val="32"/>
          <w:szCs w:val="32"/>
        </w:rPr>
      </w:pPr>
      <w:r>
        <w:rPr>
          <w:rFonts w:hint="eastAsia" w:ascii="仿宋" w:hAnsi="仿宋" w:eastAsia="仿宋" w:cs="仿宋"/>
          <w:sz w:val="32"/>
          <w:szCs w:val="32"/>
        </w:rPr>
        <w:t>（五）</w:t>
      </w:r>
      <w:r>
        <w:rPr>
          <w:rFonts w:hint="eastAsia" w:ascii="仿宋_GB2312" w:hAnsi="宋体" w:eastAsia="仿宋_GB2312"/>
          <w:sz w:val="32"/>
          <w:szCs w:val="32"/>
        </w:rPr>
        <w:t>具有良好的经营行为，</w:t>
      </w:r>
      <w:r>
        <w:rPr>
          <w:rFonts w:hint="eastAsia" w:ascii="仿宋_GB2312" w:hAnsi="宋体" w:eastAsia="仿宋_GB2312"/>
          <w:sz w:val="32"/>
          <w:szCs w:val="32"/>
          <w:lang w:eastAsia="zh-CN"/>
        </w:rPr>
        <w:t>不存在失信被执行、限制高消费情况，与</w:t>
      </w:r>
      <w:r>
        <w:rPr>
          <w:rFonts w:hint="eastAsia" w:ascii="仿宋_GB2312" w:hAnsi="宋体" w:eastAsia="仿宋_GB2312"/>
          <w:sz w:val="32"/>
          <w:szCs w:val="32"/>
          <w:lang w:val="en-US" w:eastAsia="zh-CN"/>
        </w:rPr>
        <w:t>招标</w:t>
      </w:r>
      <w:r>
        <w:rPr>
          <w:rFonts w:hint="eastAsia" w:ascii="仿宋_GB2312" w:hAnsi="宋体" w:eastAsia="仿宋_GB2312"/>
          <w:sz w:val="32"/>
          <w:szCs w:val="32"/>
          <w:lang w:eastAsia="zh-CN"/>
        </w:rPr>
        <w:t>方不存在纠纷诉讼行为（</w:t>
      </w:r>
      <w:r>
        <w:rPr>
          <w:rFonts w:hint="eastAsia" w:ascii="仿宋_GB2312" w:hAnsi="宋体" w:eastAsia="仿宋_GB2312"/>
          <w:sz w:val="32"/>
          <w:szCs w:val="32"/>
          <w:lang w:val="en-US" w:eastAsia="zh-CN"/>
        </w:rPr>
        <w:t>提供企查查网站查询截图</w:t>
      </w:r>
      <w:r>
        <w:rPr>
          <w:rFonts w:hint="eastAsia" w:ascii="仿宋_GB2312" w:hAnsi="宋体" w:eastAsia="仿宋_GB2312"/>
          <w:sz w:val="32"/>
          <w:szCs w:val="32"/>
          <w:lang w:eastAsia="zh-CN"/>
        </w:rPr>
        <w:t>）</w:t>
      </w:r>
      <w:r>
        <w:rPr>
          <w:rFonts w:hint="eastAsia" w:ascii="仿宋_GB2312" w:hAnsi="宋体" w:eastAsia="仿宋_GB2312"/>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kern w:val="0"/>
          <w:sz w:val="32"/>
          <w:szCs w:val="32"/>
        </w:rPr>
        <w:t>安全环保要求：对操作人员进行进入现场前的安全教育和考试，合格后方可上岗作业。</w:t>
      </w:r>
      <w:r>
        <w:rPr>
          <w:rFonts w:hint="eastAsia" w:ascii="仿宋" w:hAnsi="仿宋" w:eastAsia="仿宋" w:cs="仿宋"/>
          <w:sz w:val="32"/>
          <w:szCs w:val="32"/>
        </w:rPr>
        <w:t>在工作、运输及存放过程中，要满足国家及地方相关环保要求，不得造成二次污染。</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报名参加投标的单位，报名时需上传</w:t>
      </w:r>
      <w:r>
        <w:rPr>
          <w:rFonts w:hint="eastAsia" w:ascii="仿宋_GB2312" w:hAnsi="宋体" w:eastAsia="仿宋_GB2312"/>
          <w:color w:val="000000"/>
          <w:kern w:val="0"/>
          <w:sz w:val="32"/>
          <w:szCs w:val="32"/>
          <w:lang w:val="en-US" w:eastAsia="zh-CN"/>
        </w:rPr>
        <w:t>PDF版</w:t>
      </w:r>
      <w:r>
        <w:rPr>
          <w:rFonts w:hint="eastAsia" w:ascii="仿宋_GB2312" w:hAnsi="宋体" w:eastAsia="仿宋_GB2312"/>
          <w:color w:val="000000"/>
          <w:kern w:val="0"/>
          <w:sz w:val="32"/>
          <w:szCs w:val="32"/>
        </w:rPr>
        <w:t>资格</w:t>
      </w:r>
      <w:r>
        <w:rPr>
          <w:rFonts w:hint="eastAsia" w:ascii="仿宋_GB2312" w:hAnsi="宋体" w:eastAsia="仿宋_GB2312"/>
          <w:color w:val="000000"/>
          <w:kern w:val="0"/>
          <w:sz w:val="32"/>
          <w:szCs w:val="32"/>
          <w:lang w:val="en-US" w:eastAsia="zh-CN"/>
        </w:rPr>
        <w:t>审查证明</w:t>
      </w:r>
      <w:r>
        <w:rPr>
          <w:rFonts w:hint="eastAsia" w:ascii="仿宋_GB2312" w:hAnsi="宋体" w:eastAsia="仿宋_GB2312"/>
          <w:color w:val="000000"/>
          <w:kern w:val="0"/>
          <w:sz w:val="32"/>
          <w:szCs w:val="32"/>
        </w:rPr>
        <w:t>文件，</w:t>
      </w:r>
      <w:r>
        <w:rPr>
          <w:rFonts w:hint="eastAsia" w:ascii="仿宋_GB2312" w:hAnsi="宋体" w:eastAsia="仿宋_GB2312"/>
          <w:color w:val="000000"/>
          <w:kern w:val="0"/>
          <w:sz w:val="32"/>
          <w:szCs w:val="32"/>
          <w:lang w:val="en-US" w:eastAsia="zh-CN"/>
        </w:rPr>
        <w:t>招标方</w:t>
      </w:r>
      <w:r>
        <w:rPr>
          <w:rFonts w:hint="eastAsia" w:ascii="仿宋_GB2312" w:hAnsi="宋体" w:eastAsia="仿宋_GB2312"/>
          <w:color w:val="000000"/>
          <w:kern w:val="0"/>
          <w:sz w:val="32"/>
          <w:szCs w:val="32"/>
        </w:rPr>
        <w:t>将根据项目情况组织联合考察，对不符合招标条件或故意弄虚作假者，取消投标资格。</w:t>
      </w:r>
    </w:p>
    <w:p>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sz w:val="32"/>
          <w:szCs w:val="32"/>
        </w:rPr>
        <w:t>七、评标方法</w:t>
      </w:r>
    </w:p>
    <w:p>
      <w:pPr>
        <w:spacing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采取综合评估法进行评标，技术占</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0分，商务占</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0分，综合排名</w:t>
      </w:r>
      <w:r>
        <w:rPr>
          <w:rFonts w:hint="eastAsia" w:ascii="仿宋" w:hAnsi="仿宋" w:eastAsia="仿宋" w:cs="仿宋"/>
          <w:color w:val="auto"/>
          <w:sz w:val="32"/>
          <w:szCs w:val="32"/>
          <w:lang w:val="en-US" w:eastAsia="zh-CN"/>
        </w:rPr>
        <w:t>第一名</w:t>
      </w:r>
      <w:r>
        <w:rPr>
          <w:rFonts w:hint="eastAsia" w:ascii="仿宋" w:hAnsi="仿宋" w:eastAsia="仿宋" w:cs="仿宋"/>
          <w:color w:val="auto"/>
          <w:sz w:val="32"/>
          <w:szCs w:val="32"/>
        </w:rPr>
        <w:t>的单位中标。如出现</w:t>
      </w:r>
      <w:r>
        <w:rPr>
          <w:rFonts w:hint="eastAsia" w:ascii="仿宋" w:hAnsi="仿宋" w:eastAsia="仿宋" w:cs="仿宋"/>
          <w:color w:val="auto"/>
          <w:sz w:val="32"/>
          <w:szCs w:val="32"/>
          <w:lang w:val="en-US" w:eastAsia="zh-CN"/>
        </w:rPr>
        <w:t>排名</w:t>
      </w:r>
      <w:r>
        <w:rPr>
          <w:rFonts w:hint="eastAsia" w:ascii="仿宋" w:hAnsi="仿宋" w:eastAsia="仿宋" w:cs="仿宋"/>
          <w:color w:val="auto"/>
          <w:sz w:val="32"/>
          <w:szCs w:val="32"/>
        </w:rPr>
        <w:t>并列情况，根据综合实力情况，经评标委员会研究决定推荐中标单位。</w:t>
      </w:r>
    </w:p>
    <w:tbl>
      <w:tblPr>
        <w:tblStyle w:val="9"/>
        <w:tblW w:w="10223" w:type="dxa"/>
        <w:jc w:val="center"/>
        <w:tblLayout w:type="autofit"/>
        <w:tblCellMar>
          <w:top w:w="0" w:type="dxa"/>
          <w:left w:w="108" w:type="dxa"/>
          <w:bottom w:w="0" w:type="dxa"/>
          <w:right w:w="108" w:type="dxa"/>
        </w:tblCellMar>
      </w:tblPr>
      <w:tblGrid>
        <w:gridCol w:w="1783"/>
        <w:gridCol w:w="8440"/>
      </w:tblGrid>
      <w:tr>
        <w:tblPrEx>
          <w:tblCellMar>
            <w:top w:w="0" w:type="dxa"/>
            <w:left w:w="108" w:type="dxa"/>
            <w:bottom w:w="0" w:type="dxa"/>
            <w:right w:w="108" w:type="dxa"/>
          </w:tblCellMar>
        </w:tblPrEx>
        <w:trPr>
          <w:trHeight w:val="631" w:hRule="atLeast"/>
          <w:jc w:val="center"/>
        </w:trPr>
        <w:tc>
          <w:tcPr>
            <w:tcW w:w="1783" w:type="dxa"/>
            <w:tcBorders>
              <w:top w:val="single" w:color="auto" w:sz="4" w:space="0"/>
              <w:left w:val="single" w:color="auto" w:sz="4" w:space="0"/>
              <w:bottom w:val="single" w:color="auto" w:sz="8" w:space="0"/>
              <w:right w:val="single" w:color="auto" w:sz="4" w:space="0"/>
            </w:tcBorders>
            <w:noWrap/>
            <w:vAlign w:val="center"/>
          </w:tcPr>
          <w:p>
            <w:pPr>
              <w:widowControl/>
              <w:spacing w:line="36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分类</w:t>
            </w:r>
          </w:p>
        </w:tc>
        <w:tc>
          <w:tcPr>
            <w:tcW w:w="8440" w:type="dxa"/>
            <w:tcBorders>
              <w:top w:val="single" w:color="auto" w:sz="4" w:space="0"/>
              <w:left w:val="nil"/>
              <w:bottom w:val="single" w:color="auto" w:sz="8" w:space="0"/>
              <w:right w:val="single" w:color="auto" w:sz="4" w:space="0"/>
            </w:tcBorders>
            <w:noWrap w:val="0"/>
            <w:vAlign w:val="center"/>
          </w:tcPr>
          <w:p>
            <w:pPr>
              <w:widowControl/>
              <w:spacing w:line="36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评分规则</w:t>
            </w:r>
          </w:p>
        </w:tc>
      </w:tr>
      <w:tr>
        <w:tblPrEx>
          <w:tblCellMar>
            <w:top w:w="0" w:type="dxa"/>
            <w:left w:w="108" w:type="dxa"/>
            <w:bottom w:w="0" w:type="dxa"/>
            <w:right w:w="108" w:type="dxa"/>
          </w:tblCellMar>
        </w:tblPrEx>
        <w:trPr>
          <w:trHeight w:val="631" w:hRule="atLeast"/>
          <w:jc w:val="center"/>
        </w:trPr>
        <w:tc>
          <w:tcPr>
            <w:tcW w:w="1783"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价格（</w:t>
            </w:r>
            <w:r>
              <w:rPr>
                <w:rFonts w:hint="eastAsia" w:ascii="仿宋" w:hAnsi="仿宋" w:eastAsia="仿宋" w:cs="仿宋"/>
                <w:color w:val="auto"/>
                <w:kern w:val="0"/>
                <w:sz w:val="22"/>
                <w:szCs w:val="22"/>
                <w:lang w:val="en-US" w:eastAsia="zh-CN"/>
              </w:rPr>
              <w:t>7</w:t>
            </w:r>
            <w:r>
              <w:rPr>
                <w:rFonts w:hint="eastAsia" w:ascii="仿宋" w:hAnsi="仿宋" w:eastAsia="仿宋" w:cs="仿宋"/>
                <w:color w:val="auto"/>
                <w:kern w:val="0"/>
                <w:sz w:val="22"/>
                <w:szCs w:val="22"/>
              </w:rPr>
              <w:t>0）</w:t>
            </w:r>
          </w:p>
        </w:tc>
        <w:tc>
          <w:tcPr>
            <w:tcW w:w="8440" w:type="dxa"/>
            <w:tcBorders>
              <w:top w:val="nil"/>
              <w:left w:val="nil"/>
              <w:bottom w:val="single" w:color="auto" w:sz="8" w:space="0"/>
              <w:right w:val="single" w:color="auto" w:sz="4" w:space="0"/>
            </w:tcBorders>
            <w:noWrap w:val="0"/>
            <w:vAlign w:val="center"/>
          </w:tcPr>
          <w:p>
            <w:pPr>
              <w:widowControl/>
              <w:spacing w:line="360" w:lineRule="exact"/>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1、高于平均报价30%为无效投标，低于平均报价30%的，经评标委员会讨论研究，确认价格是否合理，若不合理视为无效投标。</w:t>
            </w:r>
            <w:r>
              <w:rPr>
                <w:rFonts w:hint="eastAsia" w:ascii="仿宋" w:hAnsi="仿宋" w:eastAsia="仿宋" w:cs="仿宋"/>
                <w:color w:val="auto"/>
                <w:kern w:val="0"/>
                <w:sz w:val="22"/>
                <w:szCs w:val="22"/>
              </w:rPr>
              <w:br w:type="textWrapping"/>
            </w:r>
            <w:r>
              <w:rPr>
                <w:rFonts w:hint="eastAsia" w:ascii="仿宋" w:hAnsi="仿宋" w:eastAsia="仿宋" w:cs="仿宋"/>
                <w:color w:val="auto"/>
                <w:kern w:val="0"/>
                <w:sz w:val="22"/>
                <w:szCs w:val="22"/>
              </w:rPr>
              <w:t>2、有效最低报价为</w:t>
            </w:r>
            <w:r>
              <w:rPr>
                <w:rFonts w:hint="eastAsia" w:ascii="仿宋" w:hAnsi="仿宋" w:eastAsia="仿宋" w:cs="仿宋"/>
                <w:color w:val="auto"/>
                <w:kern w:val="0"/>
                <w:sz w:val="22"/>
                <w:szCs w:val="22"/>
                <w:lang w:val="en-US" w:eastAsia="zh-CN"/>
              </w:rPr>
              <w:t>7</w:t>
            </w:r>
            <w:r>
              <w:rPr>
                <w:rFonts w:hint="eastAsia" w:ascii="仿宋" w:hAnsi="仿宋" w:eastAsia="仿宋" w:cs="仿宋"/>
                <w:color w:val="auto"/>
                <w:kern w:val="0"/>
                <w:sz w:val="22"/>
                <w:szCs w:val="22"/>
              </w:rPr>
              <w:t>0分，其他以有效最低报价为基准，每高于基准价</w:t>
            </w:r>
            <w:r>
              <w:rPr>
                <w:rFonts w:hint="eastAsia" w:ascii="仿宋" w:hAnsi="仿宋" w:eastAsia="仿宋" w:cs="仿宋"/>
                <w:color w:val="auto"/>
                <w:kern w:val="0"/>
                <w:sz w:val="22"/>
                <w:szCs w:val="22"/>
                <w:lang w:val="en-US" w:eastAsia="zh-CN"/>
              </w:rPr>
              <w:t>2</w:t>
            </w:r>
            <w:r>
              <w:rPr>
                <w:rFonts w:hint="eastAsia" w:ascii="仿宋" w:hAnsi="仿宋" w:eastAsia="仿宋" w:cs="仿宋"/>
                <w:color w:val="auto"/>
                <w:kern w:val="0"/>
                <w:sz w:val="22"/>
                <w:szCs w:val="22"/>
              </w:rPr>
              <w:t>%减1分。</w:t>
            </w:r>
          </w:p>
        </w:tc>
      </w:tr>
      <w:tr>
        <w:tblPrEx>
          <w:tblCellMar>
            <w:top w:w="0" w:type="dxa"/>
            <w:left w:w="108" w:type="dxa"/>
            <w:bottom w:w="0" w:type="dxa"/>
            <w:right w:w="108" w:type="dxa"/>
          </w:tblCellMar>
        </w:tblPrEx>
        <w:trPr>
          <w:trHeight w:val="1506" w:hRule="atLeast"/>
          <w:jc w:val="center"/>
        </w:trPr>
        <w:tc>
          <w:tcPr>
            <w:tcW w:w="178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实力业绩（</w:t>
            </w:r>
            <w:r>
              <w:rPr>
                <w:rFonts w:hint="eastAsia" w:ascii="仿宋" w:hAnsi="仿宋" w:eastAsia="仿宋" w:cs="仿宋"/>
                <w:color w:val="auto"/>
                <w:kern w:val="0"/>
                <w:sz w:val="22"/>
                <w:szCs w:val="22"/>
                <w:lang w:val="en-US" w:eastAsia="zh-CN"/>
              </w:rPr>
              <w:t>10</w:t>
            </w:r>
            <w:r>
              <w:rPr>
                <w:rFonts w:hint="eastAsia" w:ascii="仿宋" w:hAnsi="仿宋" w:eastAsia="仿宋" w:cs="仿宋"/>
                <w:color w:val="auto"/>
                <w:kern w:val="0"/>
                <w:sz w:val="22"/>
                <w:szCs w:val="22"/>
              </w:rPr>
              <w:t>）</w:t>
            </w: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投标单位</w:t>
            </w:r>
            <w:r>
              <w:rPr>
                <w:rFonts w:hint="eastAsia" w:ascii="仿宋" w:hAnsi="仿宋" w:eastAsia="仿宋" w:cs="仿宋"/>
                <w:color w:val="auto"/>
                <w:kern w:val="0"/>
                <w:sz w:val="22"/>
                <w:szCs w:val="22"/>
                <w:lang w:val="en-US" w:eastAsia="zh-CN"/>
              </w:rPr>
              <w:t>提供与</w:t>
            </w:r>
            <w:r>
              <w:rPr>
                <w:rFonts w:hint="eastAsia" w:ascii="仿宋" w:hAnsi="仿宋" w:eastAsia="仿宋" w:cs="仿宋"/>
                <w:color w:val="auto"/>
                <w:kern w:val="0"/>
                <w:sz w:val="22"/>
                <w:szCs w:val="22"/>
              </w:rPr>
              <w:t>本招标业务相似近三年</w:t>
            </w:r>
            <w:r>
              <w:rPr>
                <w:rFonts w:hint="eastAsia" w:ascii="仿宋" w:hAnsi="仿宋" w:eastAsia="仿宋" w:cs="仿宋"/>
                <w:color w:val="auto"/>
                <w:kern w:val="0"/>
                <w:sz w:val="22"/>
                <w:szCs w:val="22"/>
                <w:lang w:eastAsia="zh-CN"/>
              </w:rPr>
              <w:t>（</w:t>
            </w:r>
            <w:r>
              <w:rPr>
                <w:rFonts w:hint="eastAsia" w:ascii="仿宋" w:hAnsi="仿宋" w:eastAsia="仿宋" w:cs="仿宋"/>
                <w:color w:val="auto"/>
                <w:kern w:val="0"/>
                <w:sz w:val="22"/>
                <w:szCs w:val="22"/>
                <w:lang w:val="en-US" w:eastAsia="zh-CN"/>
              </w:rPr>
              <w:t>2023年1月1日以来</w:t>
            </w:r>
            <w:r>
              <w:rPr>
                <w:rFonts w:hint="eastAsia" w:ascii="仿宋" w:hAnsi="仿宋" w:eastAsia="仿宋" w:cs="仿宋"/>
                <w:color w:val="auto"/>
                <w:kern w:val="0"/>
                <w:sz w:val="22"/>
                <w:szCs w:val="22"/>
                <w:lang w:eastAsia="zh-CN"/>
              </w:rPr>
              <w:t>）</w:t>
            </w:r>
            <w:r>
              <w:rPr>
                <w:rFonts w:hint="eastAsia" w:ascii="仿宋" w:hAnsi="仿宋" w:eastAsia="仿宋" w:cs="仿宋"/>
                <w:color w:val="auto"/>
                <w:kern w:val="0"/>
                <w:sz w:val="22"/>
                <w:szCs w:val="22"/>
              </w:rPr>
              <w:t>的承包合同，提供合同份数</w:t>
            </w:r>
            <w:r>
              <w:rPr>
                <w:rFonts w:hint="eastAsia" w:ascii="仿宋" w:hAnsi="仿宋" w:eastAsia="仿宋" w:cs="仿宋"/>
                <w:color w:val="auto"/>
                <w:kern w:val="0"/>
                <w:sz w:val="22"/>
                <w:szCs w:val="22"/>
                <w:lang w:val="en-US" w:eastAsia="zh-CN"/>
              </w:rPr>
              <w:t>5</w:t>
            </w:r>
            <w:r>
              <w:rPr>
                <w:rFonts w:hint="eastAsia" w:ascii="仿宋" w:hAnsi="仿宋" w:eastAsia="仿宋" w:cs="仿宋"/>
                <w:color w:val="auto"/>
                <w:kern w:val="0"/>
                <w:sz w:val="22"/>
                <w:szCs w:val="22"/>
              </w:rPr>
              <w:t>份以上的（含</w:t>
            </w:r>
            <w:r>
              <w:rPr>
                <w:rFonts w:hint="eastAsia" w:ascii="仿宋" w:hAnsi="仿宋" w:eastAsia="仿宋" w:cs="仿宋"/>
                <w:color w:val="auto"/>
                <w:kern w:val="0"/>
                <w:sz w:val="22"/>
                <w:szCs w:val="22"/>
                <w:lang w:val="en-US" w:eastAsia="zh-CN"/>
              </w:rPr>
              <w:t>5</w:t>
            </w:r>
            <w:r>
              <w:rPr>
                <w:rFonts w:hint="eastAsia" w:ascii="仿宋" w:hAnsi="仿宋" w:eastAsia="仿宋" w:cs="仿宋"/>
                <w:color w:val="auto"/>
                <w:kern w:val="0"/>
                <w:sz w:val="22"/>
                <w:szCs w:val="22"/>
              </w:rPr>
              <w:t>份）得5分，</w:t>
            </w:r>
            <w:r>
              <w:rPr>
                <w:rFonts w:hint="eastAsia" w:ascii="仿宋" w:hAnsi="仿宋" w:eastAsia="仿宋" w:cs="仿宋"/>
                <w:color w:val="auto"/>
                <w:kern w:val="0"/>
                <w:sz w:val="22"/>
                <w:szCs w:val="22"/>
                <w:lang w:val="en-US" w:eastAsia="zh-CN"/>
              </w:rPr>
              <w:t>3份以上（含3份）5份以下</w:t>
            </w:r>
            <w:r>
              <w:rPr>
                <w:rFonts w:hint="eastAsia" w:ascii="仿宋" w:hAnsi="仿宋" w:eastAsia="仿宋" w:cs="仿宋"/>
                <w:color w:val="auto"/>
                <w:kern w:val="0"/>
                <w:sz w:val="22"/>
                <w:szCs w:val="22"/>
              </w:rPr>
              <w:t>的得3分，1份</w:t>
            </w:r>
            <w:r>
              <w:rPr>
                <w:rFonts w:hint="eastAsia" w:ascii="仿宋" w:hAnsi="仿宋" w:eastAsia="仿宋" w:cs="仿宋"/>
                <w:color w:val="auto"/>
                <w:kern w:val="0"/>
                <w:sz w:val="22"/>
                <w:szCs w:val="22"/>
                <w:lang w:val="en-US" w:eastAsia="zh-CN"/>
              </w:rPr>
              <w:t>以上（含1份）3份以下</w:t>
            </w:r>
            <w:r>
              <w:rPr>
                <w:rFonts w:hint="eastAsia" w:ascii="仿宋" w:hAnsi="仿宋" w:eastAsia="仿宋" w:cs="仿宋"/>
                <w:color w:val="auto"/>
                <w:kern w:val="0"/>
                <w:sz w:val="22"/>
                <w:szCs w:val="22"/>
              </w:rPr>
              <w:t>的得1分</w:t>
            </w:r>
            <w:r>
              <w:rPr>
                <w:rFonts w:hint="eastAsia" w:ascii="仿宋" w:hAnsi="仿宋" w:eastAsia="仿宋" w:cs="仿宋"/>
                <w:color w:val="auto"/>
                <w:kern w:val="0"/>
                <w:sz w:val="22"/>
                <w:szCs w:val="22"/>
                <w:lang w:eastAsia="zh-CN"/>
              </w:rPr>
              <w:t>，</w:t>
            </w:r>
            <w:r>
              <w:rPr>
                <w:rFonts w:hint="eastAsia" w:ascii="仿宋" w:hAnsi="仿宋" w:eastAsia="仿宋" w:cs="仿宋"/>
                <w:color w:val="auto"/>
                <w:kern w:val="0"/>
                <w:sz w:val="22"/>
                <w:szCs w:val="22"/>
                <w:lang w:val="en-US" w:eastAsia="zh-CN"/>
              </w:rPr>
              <w:t>未提供的不得分</w:t>
            </w:r>
            <w:r>
              <w:rPr>
                <w:rFonts w:hint="eastAsia" w:ascii="仿宋" w:hAnsi="仿宋" w:eastAsia="仿宋" w:cs="仿宋"/>
                <w:color w:val="auto"/>
                <w:kern w:val="0"/>
                <w:sz w:val="22"/>
                <w:szCs w:val="22"/>
              </w:rPr>
              <w:t>。</w:t>
            </w:r>
          </w:p>
        </w:tc>
      </w:tr>
      <w:tr>
        <w:tblPrEx>
          <w:tblCellMar>
            <w:top w:w="0" w:type="dxa"/>
            <w:left w:w="108" w:type="dxa"/>
            <w:bottom w:w="0" w:type="dxa"/>
            <w:right w:w="108" w:type="dxa"/>
          </w:tblCellMar>
        </w:tblPrEx>
        <w:trPr>
          <w:trHeight w:val="631" w:hRule="atLeast"/>
          <w:jc w:val="center"/>
        </w:trPr>
        <w:tc>
          <w:tcPr>
            <w:tcW w:w="178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 w:hAnsi="仿宋" w:eastAsia="仿宋" w:cs="仿宋"/>
                <w:color w:val="auto"/>
                <w:kern w:val="0"/>
                <w:sz w:val="22"/>
                <w:szCs w:val="22"/>
              </w:rPr>
            </w:pP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以“企查查”（www.qichacha.com）网站查询结果为依据</w:t>
            </w:r>
            <w:bookmarkStart w:id="1" w:name="_GoBack"/>
            <w:bookmarkEnd w:id="1"/>
            <w:r>
              <w:rPr>
                <w:rFonts w:hint="eastAsia" w:ascii="仿宋" w:hAnsi="仿宋" w:eastAsia="仿宋" w:cs="仿宋"/>
                <w:color w:val="auto"/>
                <w:kern w:val="0"/>
                <w:sz w:val="22"/>
                <w:szCs w:val="22"/>
              </w:rPr>
              <w:t>：</w:t>
            </w:r>
            <w:r>
              <w:rPr>
                <w:rFonts w:hint="eastAsia" w:ascii="仿宋" w:hAnsi="仿宋" w:eastAsia="仿宋" w:cs="仿宋"/>
                <w:color w:val="auto"/>
                <w:kern w:val="0"/>
                <w:sz w:val="22"/>
                <w:szCs w:val="22"/>
                <w:highlight w:val="none"/>
              </w:rPr>
              <w:t>“法律诉讼”项下“被执行人”每条扣</w:t>
            </w:r>
            <w:r>
              <w:rPr>
                <w:rFonts w:hint="eastAsia" w:ascii="仿宋" w:hAnsi="仿宋" w:eastAsia="仿宋" w:cs="仿宋"/>
                <w:color w:val="auto"/>
                <w:kern w:val="0"/>
                <w:sz w:val="22"/>
                <w:szCs w:val="22"/>
                <w:highlight w:val="none"/>
                <w:lang w:val="en-US" w:eastAsia="zh-CN"/>
              </w:rPr>
              <w:t>1</w:t>
            </w:r>
            <w:r>
              <w:rPr>
                <w:rFonts w:hint="eastAsia" w:ascii="仿宋" w:hAnsi="仿宋" w:eastAsia="仿宋" w:cs="仿宋"/>
                <w:color w:val="auto"/>
                <w:kern w:val="0"/>
                <w:sz w:val="22"/>
                <w:szCs w:val="22"/>
                <w:highlight w:val="none"/>
              </w:rPr>
              <w:t>分，合</w:t>
            </w:r>
            <w:r>
              <w:rPr>
                <w:rFonts w:hint="eastAsia" w:ascii="仿宋" w:hAnsi="仿宋" w:eastAsia="仿宋" w:cs="仿宋"/>
                <w:color w:val="auto"/>
                <w:kern w:val="0"/>
                <w:sz w:val="22"/>
                <w:szCs w:val="22"/>
              </w:rPr>
              <w:t>计最高扣5分，得分0-5分。</w:t>
            </w:r>
          </w:p>
        </w:tc>
      </w:tr>
      <w:tr>
        <w:tblPrEx>
          <w:tblCellMar>
            <w:top w:w="0" w:type="dxa"/>
            <w:left w:w="108" w:type="dxa"/>
            <w:bottom w:w="0" w:type="dxa"/>
            <w:right w:w="108" w:type="dxa"/>
          </w:tblCellMar>
        </w:tblPrEx>
        <w:trPr>
          <w:trHeight w:val="631" w:hRule="atLeast"/>
          <w:jc w:val="center"/>
        </w:trPr>
        <w:tc>
          <w:tcPr>
            <w:tcW w:w="178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服务保障（20）</w:t>
            </w: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对该业务有较为详实的了解，熟悉业务流程，能够根据业务特性制定相应的</w:t>
            </w:r>
            <w:r>
              <w:rPr>
                <w:rFonts w:hint="eastAsia" w:ascii="仿宋" w:hAnsi="仿宋" w:eastAsia="仿宋" w:cs="仿宋"/>
                <w:color w:val="auto"/>
                <w:kern w:val="0"/>
                <w:sz w:val="22"/>
                <w:szCs w:val="22"/>
                <w:lang w:val="en-US" w:eastAsia="zh-CN"/>
              </w:rPr>
              <w:t>工作</w:t>
            </w:r>
            <w:r>
              <w:rPr>
                <w:rFonts w:hint="eastAsia" w:ascii="仿宋" w:hAnsi="仿宋" w:eastAsia="仿宋" w:cs="仿宋"/>
                <w:color w:val="auto"/>
                <w:kern w:val="0"/>
                <w:sz w:val="22"/>
                <w:szCs w:val="22"/>
              </w:rPr>
              <w:t>方案。所编制</w:t>
            </w:r>
            <w:r>
              <w:rPr>
                <w:rFonts w:hint="eastAsia" w:ascii="仿宋" w:hAnsi="仿宋" w:eastAsia="仿宋" w:cs="仿宋"/>
                <w:color w:val="auto"/>
                <w:kern w:val="0"/>
                <w:sz w:val="22"/>
                <w:szCs w:val="22"/>
                <w:lang w:val="en-US" w:eastAsia="zh-CN"/>
              </w:rPr>
              <w:t>工作</w:t>
            </w:r>
            <w:r>
              <w:rPr>
                <w:rFonts w:hint="eastAsia" w:ascii="仿宋" w:hAnsi="仿宋" w:eastAsia="仿宋" w:cs="仿宋"/>
                <w:color w:val="auto"/>
                <w:kern w:val="0"/>
                <w:sz w:val="22"/>
                <w:szCs w:val="22"/>
              </w:rPr>
              <w:t>方案针对性强，内容全面的得分10-15分；针对性不强，内容较全面的得5-10分；无针对性，内容欠缺的得1-5分。</w:t>
            </w:r>
          </w:p>
        </w:tc>
      </w:tr>
      <w:tr>
        <w:tblPrEx>
          <w:tblCellMar>
            <w:top w:w="0" w:type="dxa"/>
            <w:left w:w="108" w:type="dxa"/>
            <w:bottom w:w="0" w:type="dxa"/>
            <w:right w:w="108" w:type="dxa"/>
          </w:tblCellMar>
        </w:tblPrEx>
        <w:trPr>
          <w:trHeight w:val="63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2"/>
                <w:szCs w:val="22"/>
              </w:rPr>
            </w:pPr>
          </w:p>
        </w:tc>
        <w:tc>
          <w:tcPr>
            <w:tcW w:w="844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提供</w:t>
            </w:r>
            <w:r>
              <w:rPr>
                <w:rFonts w:hint="eastAsia" w:ascii="仿宋" w:hAnsi="仿宋" w:eastAsia="仿宋" w:cs="仿宋"/>
                <w:color w:val="auto"/>
                <w:kern w:val="0"/>
                <w:sz w:val="22"/>
                <w:szCs w:val="22"/>
                <w:lang w:val="en-US" w:eastAsia="zh-CN"/>
              </w:rPr>
              <w:t>较为详实的安全管理规章制度，并配备安全管理专职人员，编制内容全面的得分4-5分，内容较为全面的得分2-3分，内容不全面的得分1分，未提供的不得分。</w:t>
            </w:r>
          </w:p>
        </w:tc>
      </w:tr>
    </w:tbl>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、联系方式</w:t>
      </w:r>
    </w:p>
    <w:p>
      <w:pPr>
        <w:spacing w:line="580" w:lineRule="exact"/>
        <w:ind w:firstLine="680" w:firstLineChars="200"/>
        <w:rPr>
          <w:rFonts w:hint="eastAsia" w:ascii="仿宋" w:hAnsi="仿宋" w:eastAsia="仿宋" w:cs="仿宋"/>
          <w:color w:val="000000"/>
          <w:spacing w:val="10"/>
          <w:kern w:val="0"/>
          <w:sz w:val="32"/>
          <w:szCs w:val="32"/>
        </w:rPr>
      </w:pPr>
      <w:r>
        <w:rPr>
          <w:rFonts w:hint="eastAsia" w:ascii="仿宋" w:hAnsi="仿宋" w:eastAsia="仿宋" w:cs="仿宋"/>
          <w:color w:val="000000"/>
          <w:spacing w:val="10"/>
          <w:kern w:val="0"/>
          <w:sz w:val="32"/>
          <w:szCs w:val="32"/>
        </w:rPr>
        <w:t xml:space="preserve">招标中心   李先生0531-76923197  </w:t>
      </w:r>
    </w:p>
    <w:p>
      <w:pPr>
        <w:spacing w:line="580" w:lineRule="exact"/>
        <w:ind w:firstLine="680" w:firstLineChars="200"/>
        <w:rPr>
          <w:rFonts w:hint="eastAsia" w:ascii="仿宋" w:hAnsi="仿宋" w:eastAsia="仿宋" w:cs="仿宋"/>
          <w:sz w:val="32"/>
          <w:szCs w:val="32"/>
          <w:lang w:val="en-US" w:eastAsia="zh-CN"/>
        </w:rPr>
      </w:pPr>
      <w:r>
        <w:rPr>
          <w:rFonts w:hint="eastAsia" w:ascii="仿宋" w:hAnsi="仿宋" w:eastAsia="仿宋" w:cs="仿宋"/>
          <w:color w:val="000000"/>
          <w:spacing w:val="10"/>
          <w:kern w:val="0"/>
          <w:sz w:val="32"/>
          <w:szCs w:val="32"/>
          <w:lang w:eastAsia="zh-CN"/>
        </w:rPr>
        <w:t>制造</w:t>
      </w:r>
      <w:r>
        <w:rPr>
          <w:rFonts w:hint="eastAsia" w:ascii="仿宋" w:hAnsi="仿宋" w:eastAsia="仿宋" w:cs="仿宋"/>
          <w:color w:val="000000"/>
          <w:spacing w:val="10"/>
          <w:kern w:val="0"/>
          <w:sz w:val="32"/>
          <w:szCs w:val="32"/>
        </w:rPr>
        <w:t xml:space="preserve">管理部 </w:t>
      </w:r>
      <w:r>
        <w:rPr>
          <w:rFonts w:hint="eastAsia" w:ascii="仿宋" w:hAnsi="仿宋" w:eastAsia="仿宋" w:cs="仿宋"/>
          <w:color w:val="000000"/>
          <w:spacing w:val="10"/>
          <w:kern w:val="0"/>
          <w:sz w:val="32"/>
          <w:szCs w:val="32"/>
          <w:lang w:val="en-US" w:eastAsia="zh-CN"/>
        </w:rPr>
        <w:t>王</w:t>
      </w:r>
      <w:r>
        <w:rPr>
          <w:rFonts w:hint="eastAsia" w:ascii="仿宋" w:hAnsi="仿宋" w:eastAsia="仿宋" w:cs="仿宋"/>
          <w:color w:val="000000"/>
          <w:spacing w:val="10"/>
          <w:kern w:val="0"/>
          <w:sz w:val="32"/>
          <w:szCs w:val="32"/>
        </w:rPr>
        <w:t>先生0531-</w:t>
      </w:r>
      <w:r>
        <w:rPr>
          <w:rFonts w:hint="eastAsia" w:ascii="仿宋" w:hAnsi="仿宋" w:eastAsia="仿宋" w:cs="仿宋"/>
          <w:color w:val="000000"/>
          <w:spacing w:val="10"/>
          <w:kern w:val="0"/>
          <w:sz w:val="32"/>
          <w:szCs w:val="32"/>
          <w:lang w:val="en-US" w:eastAsia="zh-CN"/>
        </w:rPr>
        <w:t>77920308</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、投标运作步骤</w:t>
      </w:r>
    </w:p>
    <w:p>
      <w:pPr>
        <w:autoSpaceDE w:val="0"/>
        <w:autoSpaceDN w:val="0"/>
        <w:adjustRightInd w:val="0"/>
        <w:spacing w:line="560" w:lineRule="exact"/>
        <w:ind w:firstLine="640" w:firstLineChars="200"/>
        <w:jc w:val="both"/>
        <w:textAlignment w:val="center"/>
        <w:rPr>
          <w:rFonts w:hint="eastAsia" w:ascii="仿宋" w:hAnsi="仿宋" w:eastAsia="仿宋" w:cs="仿宋"/>
          <w:color w:val="auto"/>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报名截止</w:t>
      </w:r>
      <w:r>
        <w:rPr>
          <w:rFonts w:hint="eastAsia" w:ascii="仿宋" w:hAnsi="仿宋" w:eastAsia="仿宋" w:cs="仿宋"/>
          <w:sz w:val="32"/>
          <w:szCs w:val="32"/>
        </w:rPr>
        <w:t>时间</w:t>
      </w:r>
      <w:r>
        <w:rPr>
          <w:rFonts w:hint="eastAsia" w:ascii="仿宋" w:hAnsi="仿宋" w:eastAsia="仿宋" w:cs="仿宋"/>
          <w:sz w:val="32"/>
          <w:szCs w:val="32"/>
          <w:lang w:eastAsia="zh-CN"/>
        </w:rPr>
        <w:t>及报价截止时间按照投标</w:t>
      </w:r>
      <w:r>
        <w:rPr>
          <w:rFonts w:hint="eastAsia" w:ascii="仿宋" w:hAnsi="仿宋" w:eastAsia="仿宋" w:cs="仿宋"/>
          <w:color w:val="auto"/>
          <w:sz w:val="32"/>
          <w:szCs w:val="32"/>
          <w:lang w:eastAsia="zh-CN"/>
        </w:rPr>
        <w:t>网站</w:t>
      </w:r>
      <w:r>
        <w:rPr>
          <w:rFonts w:hint="eastAsia" w:ascii="仿宋" w:hAnsi="仿宋" w:eastAsia="仿宋" w:cs="仿宋"/>
          <w:color w:val="000000"/>
          <w:kern w:val="0"/>
          <w:sz w:val="31"/>
          <w:szCs w:val="31"/>
          <w:lang w:val="en-US" w:eastAsia="zh-CN" w:bidi="ar"/>
        </w:rPr>
        <w:t>bams.shansteelgroup.com</w:t>
      </w:r>
      <w:r>
        <w:rPr>
          <w:rFonts w:hint="eastAsia" w:ascii="仿宋" w:hAnsi="仿宋" w:eastAsia="仿宋" w:cs="仿宋"/>
          <w:color w:val="auto"/>
          <w:sz w:val="32"/>
          <w:szCs w:val="32"/>
          <w:lang w:val="en-US" w:eastAsia="zh-CN"/>
        </w:rPr>
        <w:t>项目设定执行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过期者视为自动放弃。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）投标过程</w:t>
      </w:r>
      <w:r>
        <w:rPr>
          <w:rFonts w:hint="eastAsia" w:ascii="仿宋" w:hAnsi="仿宋" w:eastAsia="仿宋" w:cs="仿宋"/>
          <w:sz w:val="32"/>
          <w:szCs w:val="32"/>
          <w:lang w:eastAsia="zh-CN"/>
        </w:rPr>
        <w:t>严格执行国家相关招标法律法规</w:t>
      </w:r>
      <w:r>
        <w:rPr>
          <w:rFonts w:hint="eastAsia" w:ascii="仿宋" w:hAnsi="仿宋" w:eastAsia="仿宋" w:cs="仿宋"/>
          <w:sz w:val="32"/>
          <w:szCs w:val="32"/>
        </w:rPr>
        <w:t>。</w:t>
      </w: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Cs w:val="21"/>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：投标报价表</w:t>
      </w:r>
    </w:p>
    <w:p>
      <w:pPr>
        <w:rPr>
          <w:rFonts w:hint="eastAsia" w:ascii="仿宋" w:hAnsi="仿宋" w:eastAsia="仿宋" w:cs="仿宋"/>
          <w:szCs w:val="21"/>
        </w:rPr>
      </w:pPr>
    </w:p>
    <w:p>
      <w:pPr>
        <w:rPr>
          <w:rFonts w:hint="eastAsia" w:ascii="仿宋" w:hAnsi="仿宋" w:eastAsia="仿宋" w:cs="仿宋"/>
          <w:szCs w:val="21"/>
          <w:lang w:val="en-US" w:eastAsia="zh-CN"/>
        </w:rPr>
      </w:pPr>
      <w:r>
        <w:rPr>
          <w:rFonts w:hint="eastAsia" w:ascii="仿宋" w:hAnsi="仿宋" w:eastAsia="仿宋" w:cs="仿宋"/>
          <w:szCs w:val="21"/>
        </w:rPr>
        <w:t>附件</w:t>
      </w:r>
      <w:r>
        <w:rPr>
          <w:rFonts w:hint="eastAsia" w:ascii="仿宋" w:hAnsi="仿宋" w:eastAsia="仿宋" w:cs="仿宋"/>
          <w:szCs w:val="21"/>
          <w:lang w:val="en-US" w:eastAsia="zh-CN"/>
        </w:rPr>
        <w:t>1</w:t>
      </w:r>
    </w:p>
    <w:tbl>
      <w:tblPr>
        <w:tblStyle w:val="9"/>
        <w:tblW w:w="8662" w:type="dxa"/>
        <w:jc w:val="center"/>
        <w:tblLayout w:type="fixed"/>
        <w:tblCellMar>
          <w:top w:w="0" w:type="dxa"/>
          <w:left w:w="108" w:type="dxa"/>
          <w:bottom w:w="0" w:type="dxa"/>
          <w:right w:w="108" w:type="dxa"/>
        </w:tblCellMar>
      </w:tblPr>
      <w:tblGrid>
        <w:gridCol w:w="5260"/>
        <w:gridCol w:w="3402"/>
      </w:tblGrid>
      <w:tr>
        <w:tblPrEx>
          <w:tblCellMar>
            <w:top w:w="0" w:type="dxa"/>
            <w:left w:w="108" w:type="dxa"/>
            <w:bottom w:w="0" w:type="dxa"/>
            <w:right w:w="108" w:type="dxa"/>
          </w:tblCellMar>
        </w:tblPrEx>
        <w:trPr>
          <w:trHeight w:val="454" w:hRule="atLeast"/>
          <w:jc w:val="center"/>
        </w:trPr>
        <w:tc>
          <w:tcPr>
            <w:tcW w:w="52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szCs w:val="21"/>
              </w:rPr>
            </w:pPr>
            <w:r>
              <w:rPr>
                <w:rFonts w:hint="eastAsia" w:ascii="仿宋" w:hAnsi="仿宋" w:eastAsia="仿宋" w:cs="仿宋"/>
                <w:szCs w:val="21"/>
              </w:rPr>
              <w:t>投标类别</w:t>
            </w:r>
          </w:p>
        </w:tc>
        <w:tc>
          <w:tcPr>
            <w:tcW w:w="3402"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Cs w:val="21"/>
              </w:rPr>
            </w:pPr>
            <w:r>
              <w:rPr>
                <w:rFonts w:hint="eastAsia" w:ascii="仿宋" w:hAnsi="仿宋" w:eastAsia="仿宋" w:cs="仿宋"/>
                <w:szCs w:val="21"/>
              </w:rPr>
              <w:t xml:space="preserve">投标价格 单位 </w:t>
            </w:r>
            <w:r>
              <w:rPr>
                <w:rFonts w:hint="eastAsia" w:ascii="仿宋" w:hAnsi="仿宋" w:eastAsia="仿宋" w:cs="仿宋"/>
                <w:color w:val="FF0000"/>
                <w:szCs w:val="21"/>
              </w:rPr>
              <w:t>元/月</w:t>
            </w:r>
            <w:r>
              <w:rPr>
                <w:rFonts w:hint="eastAsia" w:ascii="仿宋" w:hAnsi="仿宋" w:eastAsia="仿宋" w:cs="仿宋"/>
                <w:szCs w:val="21"/>
              </w:rPr>
              <w:t>(不含税)</w:t>
            </w:r>
          </w:p>
        </w:tc>
      </w:tr>
      <w:tr>
        <w:tblPrEx>
          <w:tblCellMar>
            <w:top w:w="0" w:type="dxa"/>
            <w:left w:w="108" w:type="dxa"/>
            <w:bottom w:w="0" w:type="dxa"/>
            <w:right w:w="108" w:type="dxa"/>
          </w:tblCellMar>
        </w:tblPrEx>
        <w:trPr>
          <w:trHeight w:val="454" w:hRule="atLeast"/>
          <w:jc w:val="center"/>
        </w:trPr>
        <w:tc>
          <w:tcPr>
            <w:tcW w:w="5260" w:type="dxa"/>
            <w:tcBorders>
              <w:top w:val="nil"/>
              <w:left w:val="single" w:color="auto" w:sz="4" w:space="0"/>
              <w:bottom w:val="single" w:color="auto" w:sz="4" w:space="0"/>
              <w:right w:val="single" w:color="auto" w:sz="4" w:space="0"/>
            </w:tcBorders>
            <w:noWrap/>
            <w:vAlign w:val="center"/>
          </w:tcPr>
          <w:p>
            <w:pPr>
              <w:spacing w:line="580" w:lineRule="exac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后部收集业务</w:t>
            </w:r>
            <w:r>
              <w:rPr>
                <w:rFonts w:hint="eastAsia" w:ascii="仿宋" w:hAnsi="仿宋" w:eastAsia="仿宋" w:cs="仿宋"/>
                <w:szCs w:val="21"/>
                <w:lang w:eastAsia="zh-CN"/>
              </w:rPr>
              <w:t>（包月）</w:t>
            </w:r>
          </w:p>
        </w:tc>
        <w:tc>
          <w:tcPr>
            <w:tcW w:w="3402" w:type="dxa"/>
            <w:tcBorders>
              <w:top w:val="nil"/>
              <w:left w:val="single" w:color="auto" w:sz="4" w:space="0"/>
              <w:bottom w:val="single" w:color="auto" w:sz="4" w:space="0"/>
              <w:right w:val="single" w:color="auto" w:sz="4" w:space="0"/>
            </w:tcBorders>
            <w:vAlign w:val="bottom"/>
          </w:tcPr>
          <w:p>
            <w:pPr>
              <w:rPr>
                <w:rFonts w:hint="eastAsia" w:ascii="仿宋" w:hAnsi="仿宋" w:eastAsia="仿宋" w:cs="仿宋"/>
                <w:szCs w:val="21"/>
              </w:rPr>
            </w:pPr>
          </w:p>
        </w:tc>
      </w:tr>
      <w:tr>
        <w:tblPrEx>
          <w:tblCellMar>
            <w:top w:w="0" w:type="dxa"/>
            <w:left w:w="108" w:type="dxa"/>
            <w:bottom w:w="0" w:type="dxa"/>
            <w:right w:w="108" w:type="dxa"/>
          </w:tblCellMar>
        </w:tblPrEx>
        <w:trPr>
          <w:trHeight w:val="454" w:hRule="atLeast"/>
          <w:jc w:val="center"/>
        </w:trPr>
        <w:tc>
          <w:tcPr>
            <w:tcW w:w="5260" w:type="dxa"/>
            <w:tcBorders>
              <w:top w:val="nil"/>
              <w:left w:val="single" w:color="auto" w:sz="4" w:space="0"/>
              <w:bottom w:val="single" w:color="auto" w:sz="4" w:space="0"/>
              <w:right w:val="single" w:color="auto" w:sz="4" w:space="0"/>
            </w:tcBorders>
            <w:noWrap/>
            <w:vAlign w:val="center"/>
          </w:tcPr>
          <w:p>
            <w:pPr>
              <w:rPr>
                <w:rFonts w:hint="eastAsia" w:ascii="仿宋" w:hAnsi="仿宋" w:eastAsia="仿宋" w:cs="仿宋"/>
                <w:szCs w:val="21"/>
              </w:rPr>
            </w:pPr>
          </w:p>
        </w:tc>
        <w:tc>
          <w:tcPr>
            <w:tcW w:w="3402" w:type="dxa"/>
            <w:tcBorders>
              <w:top w:val="nil"/>
              <w:left w:val="single" w:color="auto" w:sz="4" w:space="0"/>
              <w:bottom w:val="single" w:color="auto" w:sz="4" w:space="0"/>
              <w:right w:val="single" w:color="auto" w:sz="4" w:space="0"/>
            </w:tcBorders>
            <w:vAlign w:val="bottom"/>
          </w:tcPr>
          <w:p>
            <w:pPr>
              <w:rPr>
                <w:rFonts w:hint="eastAsia" w:ascii="仿宋" w:hAnsi="仿宋" w:eastAsia="仿宋" w:cs="仿宋"/>
                <w:szCs w:val="21"/>
              </w:rPr>
            </w:pPr>
          </w:p>
        </w:tc>
      </w:tr>
      <w:tr>
        <w:tblPrEx>
          <w:tblCellMar>
            <w:top w:w="0" w:type="dxa"/>
            <w:left w:w="108" w:type="dxa"/>
            <w:bottom w:w="0" w:type="dxa"/>
            <w:right w:w="108" w:type="dxa"/>
          </w:tblCellMar>
        </w:tblPrEx>
        <w:trPr>
          <w:trHeight w:val="454" w:hRule="atLeast"/>
          <w:jc w:val="center"/>
        </w:trPr>
        <w:tc>
          <w:tcPr>
            <w:tcW w:w="8662" w:type="dxa"/>
            <w:gridSpan w:val="2"/>
            <w:tcBorders>
              <w:top w:val="nil"/>
              <w:left w:val="single" w:color="auto" w:sz="4" w:space="0"/>
              <w:bottom w:val="single" w:color="auto" w:sz="4" w:space="0"/>
              <w:right w:val="single" w:color="auto" w:sz="4" w:space="0"/>
            </w:tcBorders>
            <w:noWrap/>
            <w:vAlign w:val="center"/>
          </w:tcPr>
          <w:p>
            <w:pPr>
              <w:rPr>
                <w:rFonts w:hint="eastAsia" w:ascii="仿宋" w:hAnsi="仿宋" w:eastAsia="仿宋" w:cs="仿宋"/>
                <w:szCs w:val="21"/>
              </w:rPr>
            </w:pPr>
            <w:r>
              <w:rPr>
                <w:rFonts w:hint="eastAsia" w:ascii="仿宋" w:hAnsi="仿宋" w:eastAsia="仿宋" w:cs="仿宋"/>
                <w:szCs w:val="21"/>
              </w:rPr>
              <w:t>填写要求：手工填写，要求字迹清晰、工整，不允许有涂改痕迹。</w:t>
            </w:r>
          </w:p>
        </w:tc>
      </w:tr>
    </w:tbl>
    <w:p>
      <w:pPr>
        <w:spacing w:line="580" w:lineRule="exact"/>
        <w:ind w:firstLine="420" w:firstLineChars="200"/>
        <w:rPr>
          <w:rFonts w:hint="eastAsia" w:ascii="仿宋" w:hAnsi="仿宋" w:eastAsia="仿宋" w:cs="仿宋"/>
          <w:szCs w:val="21"/>
        </w:rPr>
      </w:pPr>
      <w:r>
        <w:rPr>
          <w:rFonts w:hint="eastAsia" w:ascii="仿宋" w:hAnsi="仿宋" w:eastAsia="仿宋" w:cs="仿宋"/>
          <w:szCs w:val="21"/>
        </w:rPr>
        <w:t>投标单位全称（公章）：       日期：    年   月   日</w:t>
      </w: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sectPr>
      <w:headerReference r:id="rId3" w:type="default"/>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t>第</w:t>
                          </w:r>
                          <w:r>
                            <w:t xml:space="preserve"> </w:t>
                          </w:r>
                          <w:r>
                            <w:fldChar w:fldCharType="begin"/>
                          </w:r>
                          <w:r>
                            <w:instrText xml:space="preserve"> PAGE  \* MERGEFORMAT </w:instrText>
                          </w:r>
                          <w:r>
                            <w:fldChar w:fldCharType="separate"/>
                          </w:r>
                          <w:r>
                            <w:t>3</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w:t>
                          </w:r>
                          <w:r>
                            <w:fldChar w:fldCharType="end"/>
                          </w:r>
                          <w:r>
                            <w:t xml:space="preserve"> </w:t>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6"/>
                    </w:pPr>
                    <w:r>
                      <w:rPr>
                        <w:rFonts w:hint="eastAsia"/>
                      </w:rPr>
                      <w:t>第</w:t>
                    </w:r>
                    <w:r>
                      <w:t xml:space="preserve"> </w:t>
                    </w:r>
                    <w:r>
                      <w:fldChar w:fldCharType="begin"/>
                    </w:r>
                    <w:r>
                      <w:instrText xml:space="preserve"> PAGE  \* MERGEFORMAT </w:instrText>
                    </w:r>
                    <w:r>
                      <w:fldChar w:fldCharType="separate"/>
                    </w:r>
                    <w:r>
                      <w:t>3</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w:t>
                    </w:r>
                    <w:r>
                      <w:fldChar w:fldCharType="end"/>
                    </w:r>
                    <w:r>
                      <w:t xml:space="preserve"> </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8F"/>
    <w:rsid w:val="00001EE8"/>
    <w:rsid w:val="00005530"/>
    <w:rsid w:val="0002718E"/>
    <w:rsid w:val="00030412"/>
    <w:rsid w:val="000400AF"/>
    <w:rsid w:val="0004333D"/>
    <w:rsid w:val="000569FD"/>
    <w:rsid w:val="00062736"/>
    <w:rsid w:val="0007086D"/>
    <w:rsid w:val="00072DCE"/>
    <w:rsid w:val="00076475"/>
    <w:rsid w:val="00093ADC"/>
    <w:rsid w:val="000A48C1"/>
    <w:rsid w:val="000B3CC8"/>
    <w:rsid w:val="000B4C05"/>
    <w:rsid w:val="000C7894"/>
    <w:rsid w:val="000D0EDA"/>
    <w:rsid w:val="000D5A8F"/>
    <w:rsid w:val="000E0180"/>
    <w:rsid w:val="000E209A"/>
    <w:rsid w:val="000E2433"/>
    <w:rsid w:val="000E420A"/>
    <w:rsid w:val="000E478A"/>
    <w:rsid w:val="00100FE5"/>
    <w:rsid w:val="001055E1"/>
    <w:rsid w:val="00110341"/>
    <w:rsid w:val="00114CCF"/>
    <w:rsid w:val="00125D14"/>
    <w:rsid w:val="00144F17"/>
    <w:rsid w:val="0014732C"/>
    <w:rsid w:val="00167188"/>
    <w:rsid w:val="0016744A"/>
    <w:rsid w:val="001758F1"/>
    <w:rsid w:val="00182ED9"/>
    <w:rsid w:val="00190336"/>
    <w:rsid w:val="0019556A"/>
    <w:rsid w:val="00196F79"/>
    <w:rsid w:val="001A298D"/>
    <w:rsid w:val="001C722D"/>
    <w:rsid w:val="00214BCD"/>
    <w:rsid w:val="00230ADC"/>
    <w:rsid w:val="00234131"/>
    <w:rsid w:val="00251E39"/>
    <w:rsid w:val="00260F3F"/>
    <w:rsid w:val="00277117"/>
    <w:rsid w:val="00295E8D"/>
    <w:rsid w:val="002A3F78"/>
    <w:rsid w:val="002A76A7"/>
    <w:rsid w:val="002B012E"/>
    <w:rsid w:val="002B2566"/>
    <w:rsid w:val="002B282D"/>
    <w:rsid w:val="002B6962"/>
    <w:rsid w:val="002C1018"/>
    <w:rsid w:val="002C3A32"/>
    <w:rsid w:val="002C5CD5"/>
    <w:rsid w:val="002D67C1"/>
    <w:rsid w:val="002E21E2"/>
    <w:rsid w:val="003050BB"/>
    <w:rsid w:val="00305F0B"/>
    <w:rsid w:val="00320ED6"/>
    <w:rsid w:val="003270C6"/>
    <w:rsid w:val="003533C6"/>
    <w:rsid w:val="0038387F"/>
    <w:rsid w:val="003A5B00"/>
    <w:rsid w:val="003A6A4E"/>
    <w:rsid w:val="003B3488"/>
    <w:rsid w:val="003C0E1B"/>
    <w:rsid w:val="003D1A4B"/>
    <w:rsid w:val="003E47A6"/>
    <w:rsid w:val="003F28E9"/>
    <w:rsid w:val="004145F6"/>
    <w:rsid w:val="004156F1"/>
    <w:rsid w:val="00417A1A"/>
    <w:rsid w:val="00434C46"/>
    <w:rsid w:val="0046110B"/>
    <w:rsid w:val="00474747"/>
    <w:rsid w:val="0047483B"/>
    <w:rsid w:val="004760BC"/>
    <w:rsid w:val="00480F3E"/>
    <w:rsid w:val="00490AC3"/>
    <w:rsid w:val="004A2A7D"/>
    <w:rsid w:val="004A2F12"/>
    <w:rsid w:val="004B0BC9"/>
    <w:rsid w:val="004B4D36"/>
    <w:rsid w:val="004B5A9D"/>
    <w:rsid w:val="004C0C54"/>
    <w:rsid w:val="004C23D9"/>
    <w:rsid w:val="004D5E21"/>
    <w:rsid w:val="004D68ED"/>
    <w:rsid w:val="004E26E4"/>
    <w:rsid w:val="004F0105"/>
    <w:rsid w:val="004F7488"/>
    <w:rsid w:val="005105F4"/>
    <w:rsid w:val="00522B77"/>
    <w:rsid w:val="00523CC8"/>
    <w:rsid w:val="005344EE"/>
    <w:rsid w:val="00535714"/>
    <w:rsid w:val="0053675A"/>
    <w:rsid w:val="00541619"/>
    <w:rsid w:val="00547C9D"/>
    <w:rsid w:val="00551301"/>
    <w:rsid w:val="00551C58"/>
    <w:rsid w:val="005554E4"/>
    <w:rsid w:val="00573D09"/>
    <w:rsid w:val="00574021"/>
    <w:rsid w:val="0057489A"/>
    <w:rsid w:val="005800DE"/>
    <w:rsid w:val="005811CE"/>
    <w:rsid w:val="00583695"/>
    <w:rsid w:val="00587059"/>
    <w:rsid w:val="00587903"/>
    <w:rsid w:val="00590F9C"/>
    <w:rsid w:val="00595B1B"/>
    <w:rsid w:val="005B48AB"/>
    <w:rsid w:val="005C3B66"/>
    <w:rsid w:val="005D2212"/>
    <w:rsid w:val="005D5119"/>
    <w:rsid w:val="005D6FE5"/>
    <w:rsid w:val="005E7AA6"/>
    <w:rsid w:val="005E7B02"/>
    <w:rsid w:val="005E7F02"/>
    <w:rsid w:val="005F524D"/>
    <w:rsid w:val="005F7363"/>
    <w:rsid w:val="006010DD"/>
    <w:rsid w:val="00626185"/>
    <w:rsid w:val="00635725"/>
    <w:rsid w:val="00640D2E"/>
    <w:rsid w:val="006470F4"/>
    <w:rsid w:val="0065551F"/>
    <w:rsid w:val="00660DAD"/>
    <w:rsid w:val="00674288"/>
    <w:rsid w:val="00687F44"/>
    <w:rsid w:val="006917AA"/>
    <w:rsid w:val="006A6876"/>
    <w:rsid w:val="006A7470"/>
    <w:rsid w:val="006A7900"/>
    <w:rsid w:val="006B58AB"/>
    <w:rsid w:val="006C2995"/>
    <w:rsid w:val="006D30BE"/>
    <w:rsid w:val="006E0727"/>
    <w:rsid w:val="006E1E23"/>
    <w:rsid w:val="006E79A7"/>
    <w:rsid w:val="006F016C"/>
    <w:rsid w:val="006F7F14"/>
    <w:rsid w:val="0070015D"/>
    <w:rsid w:val="007015FD"/>
    <w:rsid w:val="007111EE"/>
    <w:rsid w:val="00717A8E"/>
    <w:rsid w:val="0072079C"/>
    <w:rsid w:val="00723EA9"/>
    <w:rsid w:val="007241AF"/>
    <w:rsid w:val="00734E99"/>
    <w:rsid w:val="007428B2"/>
    <w:rsid w:val="00743F7E"/>
    <w:rsid w:val="0074634B"/>
    <w:rsid w:val="00750011"/>
    <w:rsid w:val="00755958"/>
    <w:rsid w:val="007574F4"/>
    <w:rsid w:val="00761BCD"/>
    <w:rsid w:val="00764BE1"/>
    <w:rsid w:val="007660C2"/>
    <w:rsid w:val="00780DDC"/>
    <w:rsid w:val="00781AAD"/>
    <w:rsid w:val="00795CDD"/>
    <w:rsid w:val="007A4708"/>
    <w:rsid w:val="007B5678"/>
    <w:rsid w:val="007C1621"/>
    <w:rsid w:val="007C3522"/>
    <w:rsid w:val="007C3B7E"/>
    <w:rsid w:val="007C7DF5"/>
    <w:rsid w:val="007E0CA7"/>
    <w:rsid w:val="007E3E38"/>
    <w:rsid w:val="007E4844"/>
    <w:rsid w:val="007F39A1"/>
    <w:rsid w:val="007F4A1F"/>
    <w:rsid w:val="00800D28"/>
    <w:rsid w:val="00810832"/>
    <w:rsid w:val="00810B1A"/>
    <w:rsid w:val="008141BF"/>
    <w:rsid w:val="00820E28"/>
    <w:rsid w:val="00822920"/>
    <w:rsid w:val="0082737F"/>
    <w:rsid w:val="008303C8"/>
    <w:rsid w:val="008329F2"/>
    <w:rsid w:val="008532F8"/>
    <w:rsid w:val="00856680"/>
    <w:rsid w:val="00876702"/>
    <w:rsid w:val="008858CD"/>
    <w:rsid w:val="00885CBD"/>
    <w:rsid w:val="00891A6D"/>
    <w:rsid w:val="008A52BD"/>
    <w:rsid w:val="008B152A"/>
    <w:rsid w:val="008B7C28"/>
    <w:rsid w:val="008C23B2"/>
    <w:rsid w:val="008D50BE"/>
    <w:rsid w:val="008F0EF7"/>
    <w:rsid w:val="008F20DB"/>
    <w:rsid w:val="008F2A6B"/>
    <w:rsid w:val="008F6F3C"/>
    <w:rsid w:val="009022C6"/>
    <w:rsid w:val="00922619"/>
    <w:rsid w:val="00926307"/>
    <w:rsid w:val="00927AEF"/>
    <w:rsid w:val="00942201"/>
    <w:rsid w:val="00945F70"/>
    <w:rsid w:val="00961411"/>
    <w:rsid w:val="00963192"/>
    <w:rsid w:val="00967895"/>
    <w:rsid w:val="0099019A"/>
    <w:rsid w:val="009A32C4"/>
    <w:rsid w:val="009A62BC"/>
    <w:rsid w:val="009C1CA2"/>
    <w:rsid w:val="009C771F"/>
    <w:rsid w:val="009D505F"/>
    <w:rsid w:val="009E57EC"/>
    <w:rsid w:val="00A114C4"/>
    <w:rsid w:val="00A125DC"/>
    <w:rsid w:val="00A1436B"/>
    <w:rsid w:val="00A310F5"/>
    <w:rsid w:val="00A55979"/>
    <w:rsid w:val="00A57C7F"/>
    <w:rsid w:val="00A63ECA"/>
    <w:rsid w:val="00A745B9"/>
    <w:rsid w:val="00A8332A"/>
    <w:rsid w:val="00A96D26"/>
    <w:rsid w:val="00AA1B23"/>
    <w:rsid w:val="00AB0EAF"/>
    <w:rsid w:val="00AB4639"/>
    <w:rsid w:val="00AC1FF3"/>
    <w:rsid w:val="00AC20B7"/>
    <w:rsid w:val="00AC3197"/>
    <w:rsid w:val="00AC4BC4"/>
    <w:rsid w:val="00AD7C7C"/>
    <w:rsid w:val="00AE1F4E"/>
    <w:rsid w:val="00AE3EE6"/>
    <w:rsid w:val="00B038EF"/>
    <w:rsid w:val="00B147D9"/>
    <w:rsid w:val="00B21F0E"/>
    <w:rsid w:val="00B40E42"/>
    <w:rsid w:val="00B5153B"/>
    <w:rsid w:val="00B55E6B"/>
    <w:rsid w:val="00B65E81"/>
    <w:rsid w:val="00B74211"/>
    <w:rsid w:val="00B76DD7"/>
    <w:rsid w:val="00BA35A9"/>
    <w:rsid w:val="00BB2E1F"/>
    <w:rsid w:val="00BC0E1C"/>
    <w:rsid w:val="00BC5136"/>
    <w:rsid w:val="00BE1A40"/>
    <w:rsid w:val="00BE5CA1"/>
    <w:rsid w:val="00C011AA"/>
    <w:rsid w:val="00C06365"/>
    <w:rsid w:val="00C10405"/>
    <w:rsid w:val="00C10BF3"/>
    <w:rsid w:val="00C15210"/>
    <w:rsid w:val="00C169CB"/>
    <w:rsid w:val="00C33433"/>
    <w:rsid w:val="00C37640"/>
    <w:rsid w:val="00C53DED"/>
    <w:rsid w:val="00C606E8"/>
    <w:rsid w:val="00C704A5"/>
    <w:rsid w:val="00C71DBE"/>
    <w:rsid w:val="00C8127A"/>
    <w:rsid w:val="00C83A3F"/>
    <w:rsid w:val="00CA05AC"/>
    <w:rsid w:val="00CA3284"/>
    <w:rsid w:val="00CB62D3"/>
    <w:rsid w:val="00CD5A3F"/>
    <w:rsid w:val="00CE33B8"/>
    <w:rsid w:val="00CF3B17"/>
    <w:rsid w:val="00D001CD"/>
    <w:rsid w:val="00D026DE"/>
    <w:rsid w:val="00D20BA3"/>
    <w:rsid w:val="00D21720"/>
    <w:rsid w:val="00D34A41"/>
    <w:rsid w:val="00D34F22"/>
    <w:rsid w:val="00D44D88"/>
    <w:rsid w:val="00D4595D"/>
    <w:rsid w:val="00D55F8F"/>
    <w:rsid w:val="00D849D8"/>
    <w:rsid w:val="00DA1A7D"/>
    <w:rsid w:val="00DA7DD9"/>
    <w:rsid w:val="00DB75A0"/>
    <w:rsid w:val="00DC28D9"/>
    <w:rsid w:val="00DE12D0"/>
    <w:rsid w:val="00DE1434"/>
    <w:rsid w:val="00DE452F"/>
    <w:rsid w:val="00E16376"/>
    <w:rsid w:val="00E2398E"/>
    <w:rsid w:val="00E34DE3"/>
    <w:rsid w:val="00E6387D"/>
    <w:rsid w:val="00E65296"/>
    <w:rsid w:val="00E72348"/>
    <w:rsid w:val="00E7797B"/>
    <w:rsid w:val="00E82EFA"/>
    <w:rsid w:val="00E8331E"/>
    <w:rsid w:val="00E87A21"/>
    <w:rsid w:val="00E968EB"/>
    <w:rsid w:val="00EA75DA"/>
    <w:rsid w:val="00EE1C66"/>
    <w:rsid w:val="00EE4C8F"/>
    <w:rsid w:val="00EF28DB"/>
    <w:rsid w:val="00EF5D6B"/>
    <w:rsid w:val="00EF6362"/>
    <w:rsid w:val="00F077F1"/>
    <w:rsid w:val="00F12CF1"/>
    <w:rsid w:val="00F24B73"/>
    <w:rsid w:val="00F333E6"/>
    <w:rsid w:val="00F40921"/>
    <w:rsid w:val="00F536DB"/>
    <w:rsid w:val="00F70C83"/>
    <w:rsid w:val="00F749A5"/>
    <w:rsid w:val="00F8489E"/>
    <w:rsid w:val="00F84EC0"/>
    <w:rsid w:val="00F85A5B"/>
    <w:rsid w:val="00F90883"/>
    <w:rsid w:val="00F96FB9"/>
    <w:rsid w:val="00FA31CD"/>
    <w:rsid w:val="00FA7C12"/>
    <w:rsid w:val="00FB1F90"/>
    <w:rsid w:val="00FB72CD"/>
    <w:rsid w:val="00FC1392"/>
    <w:rsid w:val="00FD67C3"/>
    <w:rsid w:val="00FD740B"/>
    <w:rsid w:val="00FF1D40"/>
    <w:rsid w:val="034014A1"/>
    <w:rsid w:val="035A19D2"/>
    <w:rsid w:val="039514F9"/>
    <w:rsid w:val="03F222A7"/>
    <w:rsid w:val="06427CBE"/>
    <w:rsid w:val="08C05B32"/>
    <w:rsid w:val="0A397505"/>
    <w:rsid w:val="0B06267E"/>
    <w:rsid w:val="0F8C5198"/>
    <w:rsid w:val="0FB803B2"/>
    <w:rsid w:val="113E31CD"/>
    <w:rsid w:val="12D41AE2"/>
    <w:rsid w:val="148C7D8B"/>
    <w:rsid w:val="148E47F1"/>
    <w:rsid w:val="14EA2F11"/>
    <w:rsid w:val="16CB622C"/>
    <w:rsid w:val="18D4688C"/>
    <w:rsid w:val="198260F2"/>
    <w:rsid w:val="1B1C1A8A"/>
    <w:rsid w:val="1C1035F7"/>
    <w:rsid w:val="1DE70408"/>
    <w:rsid w:val="229028C4"/>
    <w:rsid w:val="22EE5ADF"/>
    <w:rsid w:val="259D7770"/>
    <w:rsid w:val="2DBE1DE6"/>
    <w:rsid w:val="2E1375C0"/>
    <w:rsid w:val="2E20423C"/>
    <w:rsid w:val="2FB7658E"/>
    <w:rsid w:val="347E631A"/>
    <w:rsid w:val="3742712E"/>
    <w:rsid w:val="37AD4590"/>
    <w:rsid w:val="3D711B6E"/>
    <w:rsid w:val="3FF86B5D"/>
    <w:rsid w:val="43F0082A"/>
    <w:rsid w:val="481600E5"/>
    <w:rsid w:val="4A147EE0"/>
    <w:rsid w:val="4DC31516"/>
    <w:rsid w:val="4E2F1852"/>
    <w:rsid w:val="5530135C"/>
    <w:rsid w:val="57F81A38"/>
    <w:rsid w:val="5CEB0F2B"/>
    <w:rsid w:val="624D0690"/>
    <w:rsid w:val="636B451F"/>
    <w:rsid w:val="67884FA6"/>
    <w:rsid w:val="6ADA4FBB"/>
    <w:rsid w:val="6E2C0351"/>
    <w:rsid w:val="73891FBF"/>
    <w:rsid w:val="77BD020B"/>
    <w:rsid w:val="7A1E1824"/>
    <w:rsid w:val="7E6632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locked/>
    <w:uiPriority w:val="99"/>
    <w:pPr>
      <w:spacing w:afterLines="0" w:afterAutospacing="0" w:line="560" w:lineRule="exact"/>
      <w:ind w:firstLine="880" w:firstLineChars="200"/>
    </w:pPr>
    <w:rPr>
      <w:rFonts w:eastAsia="仿宋_GB2312" w:asciiTheme="minorAscii" w:hAnsiTheme="minorAscii" w:cstheme="minorBidi"/>
      <w:sz w:val="32"/>
    </w:rPr>
  </w:style>
  <w:style w:type="paragraph" w:styleId="4">
    <w:name w:val="Body Text Indent"/>
    <w:basedOn w:val="1"/>
    <w:link w:val="18"/>
    <w:qFormat/>
    <w:locked/>
    <w:uiPriority w:val="99"/>
    <w:pPr>
      <w:ind w:firstLine="720" w:firstLineChars="225"/>
    </w:pPr>
    <w:rPr>
      <w:sz w:val="32"/>
    </w:rPr>
  </w:style>
  <w:style w:type="paragraph" w:styleId="5">
    <w:name w:val="Balloon Text"/>
    <w:basedOn w:val="1"/>
    <w:link w:val="16"/>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99"/>
    <w:rPr>
      <w:rFonts w:cs="Times New Roman"/>
    </w:rPr>
  </w:style>
  <w:style w:type="character" w:customStyle="1" w:styleId="13">
    <w:name w:val="页脚 字符"/>
    <w:link w:val="6"/>
    <w:semiHidden/>
    <w:qFormat/>
    <w:locked/>
    <w:uiPriority w:val="99"/>
    <w:rPr>
      <w:rFonts w:cs="Times New Roman"/>
      <w:sz w:val="18"/>
      <w:szCs w:val="18"/>
    </w:rPr>
  </w:style>
  <w:style w:type="character" w:customStyle="1" w:styleId="14">
    <w:name w:val="页眉 字符"/>
    <w:link w:val="7"/>
    <w:qFormat/>
    <w:locked/>
    <w:uiPriority w:val="99"/>
    <w:rPr>
      <w:rFonts w:cs="Times New Roman"/>
      <w:kern w:val="2"/>
      <w:sz w:val="18"/>
    </w:rPr>
  </w:style>
  <w:style w:type="character" w:customStyle="1" w:styleId="15">
    <w:name w:val="HTML 预设格式 字符"/>
    <w:link w:val="8"/>
    <w:semiHidden/>
    <w:qFormat/>
    <w:locked/>
    <w:uiPriority w:val="99"/>
    <w:rPr>
      <w:rFonts w:ascii="Courier New" w:hAnsi="Courier New" w:cs="Courier New"/>
      <w:sz w:val="20"/>
      <w:szCs w:val="20"/>
    </w:rPr>
  </w:style>
  <w:style w:type="character" w:customStyle="1" w:styleId="16">
    <w:name w:val="批注框文本 字符"/>
    <w:link w:val="5"/>
    <w:qFormat/>
    <w:locked/>
    <w:uiPriority w:val="99"/>
    <w:rPr>
      <w:rFonts w:cs="Times New Roman"/>
      <w:kern w:val="2"/>
      <w:sz w:val="18"/>
      <w:szCs w:val="18"/>
    </w:rPr>
  </w:style>
  <w:style w:type="paragraph" w:styleId="17">
    <w:name w:val="List Paragraph"/>
    <w:basedOn w:val="1"/>
    <w:qFormat/>
    <w:uiPriority w:val="99"/>
    <w:pPr>
      <w:ind w:firstLine="420" w:firstLineChars="200"/>
    </w:pPr>
  </w:style>
  <w:style w:type="character" w:customStyle="1" w:styleId="18">
    <w:name w:val="正文文本缩进 字符"/>
    <w:link w:val="4"/>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356</Words>
  <Characters>2033</Characters>
  <Lines>16</Lines>
  <Paragraphs>4</Paragraphs>
  <TotalTime>1</TotalTime>
  <ScaleCrop>false</ScaleCrop>
  <LinksUpToDate>false</LinksUpToDate>
  <CharactersWithSpaces>2385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2020-06-03T09:01:00Z</dcterms:created>
  <dc:creator>微软用户</dc:creator>
  <cp:lastModifiedBy>王庆会</cp:lastModifiedBy>
  <cp:lastPrinted>2025-05-09T07:27:00Z</cp:lastPrinted>
  <dcterms:modified xsi:type="dcterms:W3CDTF">2026-03-26T07:31:52Z</dcterms:modified>
  <dc:title>莱芜钢铁集团有限公司</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4842BEA54F60463AA0B1E57753B88ED6</vt:lpwstr>
  </property>
</Properties>
</file>