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E6115">
      <w:pPr>
        <w:pStyle w:val="26"/>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rPr>
        <w:t>山东钢铁</w:t>
      </w:r>
      <w:r>
        <w:rPr>
          <w:rFonts w:hint="eastAsia" w:ascii="方正小标宋简体" w:eastAsia="方正小标宋简体"/>
          <w:sz w:val="44"/>
          <w:szCs w:val="44"/>
          <w:lang w:val="en-US" w:eastAsia="zh-CN"/>
        </w:rPr>
        <w:t>集团日照有限公司</w:t>
      </w:r>
    </w:p>
    <w:p w14:paraId="6CC1752C">
      <w:pPr>
        <w:pStyle w:val="26"/>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bookmarkStart w:id="0" w:name="题目"/>
      <w:r>
        <w:rPr>
          <w:rFonts w:hint="eastAsia" w:ascii="方正小标宋简体" w:eastAsia="方正小标宋简体"/>
          <w:sz w:val="44"/>
          <w:szCs w:val="44"/>
          <w:lang w:val="en-US" w:eastAsia="zh-CN"/>
        </w:rPr>
        <w:t>日照公司危废物资竞卖</w:t>
      </w:r>
      <w:r>
        <w:rPr>
          <w:rFonts w:hint="default" w:ascii="方正小标宋简体" w:eastAsia="方正小标宋简体"/>
          <w:sz w:val="44"/>
          <w:szCs w:val="44"/>
          <w:lang w:val="en-US" w:eastAsia="zh-CN"/>
        </w:rPr>
        <w:t>公告202</w:t>
      </w:r>
      <w:r>
        <w:rPr>
          <w:rFonts w:hint="eastAsia" w:ascii="方正小标宋简体" w:eastAsia="方正小标宋简体"/>
          <w:sz w:val="44"/>
          <w:szCs w:val="44"/>
          <w:lang w:val="en-US" w:eastAsia="zh-CN"/>
        </w:rPr>
        <w:t>60916</w:t>
      </w:r>
      <w:bookmarkEnd w:id="0"/>
    </w:p>
    <w:p w14:paraId="0732CCB0">
      <w:pPr>
        <w:pStyle w:val="26"/>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p>
    <w:p w14:paraId="0E703B7C">
      <w:pPr>
        <w:pStyle w:val="26"/>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山东钢铁</w:t>
      </w:r>
      <w:r>
        <w:rPr>
          <w:rFonts w:hint="eastAsia" w:ascii="仿宋_GB2312" w:hAnsi="宋体" w:eastAsia="仿宋_GB2312" w:cs="仿宋_GB2312"/>
          <w:kern w:val="0"/>
          <w:sz w:val="32"/>
          <w:szCs w:val="32"/>
          <w:lang w:val="en-US" w:eastAsia="zh-CN"/>
        </w:rPr>
        <w:t>集团日照</w:t>
      </w:r>
      <w:r>
        <w:rPr>
          <w:rFonts w:hint="eastAsia" w:ascii="仿宋_GB2312" w:hAnsi="宋体" w:eastAsia="仿宋_GB2312" w:cs="仿宋_GB2312"/>
          <w:kern w:val="0"/>
          <w:sz w:val="32"/>
          <w:szCs w:val="32"/>
        </w:rPr>
        <w:t>有限公司现组织对</w:t>
      </w:r>
      <w:r>
        <w:rPr>
          <w:rFonts w:hint="eastAsia" w:ascii="仿宋_GB2312" w:hAnsi="宋体" w:eastAsia="仿宋_GB2312" w:cs="仿宋_GB2312"/>
          <w:kern w:val="0"/>
          <w:sz w:val="32"/>
          <w:szCs w:val="32"/>
          <w:lang w:val="en-US" w:eastAsia="zh-CN"/>
        </w:rPr>
        <w:t>一批危废物资</w:t>
      </w:r>
      <w:r>
        <w:rPr>
          <w:rFonts w:hint="eastAsia" w:ascii="仿宋_GB2312" w:hAnsi="宋体" w:eastAsia="仿宋_GB2312" w:cs="仿宋_GB2312"/>
          <w:kern w:val="0"/>
          <w:sz w:val="32"/>
          <w:szCs w:val="32"/>
        </w:rPr>
        <w:t>进行公开销售，相关事项公告如下：</w:t>
      </w:r>
    </w:p>
    <w:p w14:paraId="7D97A850">
      <w:pPr>
        <w:pStyle w:val="2"/>
        <w:pageBreakBefore w:val="0"/>
        <w:kinsoku/>
        <w:wordWrap/>
        <w:overflowPunct/>
        <w:topLinePunct w:val="0"/>
        <w:autoSpaceDE/>
        <w:autoSpaceDN/>
        <w:bidi w:val="0"/>
        <w:adjustRightInd/>
        <w:snapToGrid/>
        <w:spacing w:line="560" w:lineRule="exact"/>
      </w:pPr>
      <w:r>
        <w:rPr>
          <w:rFonts w:hint="eastAsia"/>
        </w:rPr>
        <w:t>本次公开销售的销售主体及资源</w:t>
      </w:r>
    </w:p>
    <w:p w14:paraId="4E627405">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销售主体：山东钢铁集团日照有限公司</w:t>
      </w:r>
    </w:p>
    <w:p w14:paraId="1A555AD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hint="eastAsia" w:ascii="黑体" w:hAnsi="黑体" w:eastAsia="黑体" w:cs="黑体"/>
          <w:color w:val="auto"/>
          <w:kern w:val="0"/>
          <w:sz w:val="28"/>
          <w:szCs w:val="28"/>
          <w:lang w:val="en-US" w:eastAsia="zh-CN"/>
        </w:rPr>
      </w:pPr>
      <w:r>
        <w:rPr>
          <w:rFonts w:hint="eastAsia" w:ascii="仿宋_GB2312" w:hAnsi="宋体" w:eastAsia="仿宋_GB2312" w:cs="仿宋_GB2312"/>
          <w:kern w:val="0"/>
          <w:sz w:val="32"/>
          <w:szCs w:val="32"/>
        </w:rPr>
        <w:t>资源</w:t>
      </w:r>
      <w:r>
        <w:rPr>
          <w:rFonts w:hint="eastAsia" w:ascii="仿宋_GB2312" w:hAnsi="宋体" w:eastAsia="仿宋_GB2312" w:cs="仿宋_GB2312"/>
          <w:color w:val="auto"/>
          <w:kern w:val="0"/>
          <w:sz w:val="32"/>
          <w:szCs w:val="32"/>
        </w:rPr>
        <w:t>：</w:t>
      </w:r>
    </w:p>
    <w:tbl>
      <w:tblPr>
        <w:tblStyle w:val="16"/>
        <w:tblW w:w="10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9"/>
        <w:gridCol w:w="983"/>
        <w:gridCol w:w="2587"/>
        <w:gridCol w:w="2222"/>
        <w:gridCol w:w="1532"/>
        <w:gridCol w:w="1015"/>
        <w:gridCol w:w="1458"/>
      </w:tblGrid>
      <w:tr w14:paraId="7A35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1" w:hRule="atLeast"/>
          <w:tblHeader/>
        </w:trPr>
        <w:tc>
          <w:tcPr>
            <w:tcW w:w="789" w:type="dxa"/>
            <w:shd w:val="clear" w:color="auto" w:fill="auto"/>
            <w:noWrap/>
            <w:vAlign w:val="center"/>
          </w:tcPr>
          <w:p w14:paraId="554904D3">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包号</w:t>
            </w:r>
          </w:p>
        </w:tc>
        <w:tc>
          <w:tcPr>
            <w:tcW w:w="983" w:type="dxa"/>
            <w:shd w:val="clear" w:color="auto" w:fill="auto"/>
            <w:noWrap/>
            <w:vAlign w:val="center"/>
          </w:tcPr>
          <w:p w14:paraId="306834A4">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合并名称</w:t>
            </w:r>
          </w:p>
        </w:tc>
        <w:tc>
          <w:tcPr>
            <w:tcW w:w="2587" w:type="dxa"/>
            <w:shd w:val="clear" w:color="auto" w:fill="auto"/>
            <w:noWrap/>
            <w:vAlign w:val="center"/>
          </w:tcPr>
          <w:p w14:paraId="1851C20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组分名称</w:t>
            </w:r>
          </w:p>
        </w:tc>
        <w:tc>
          <w:tcPr>
            <w:tcW w:w="2222" w:type="dxa"/>
            <w:shd w:val="clear" w:color="auto" w:fill="auto"/>
            <w:noWrap/>
            <w:vAlign w:val="center"/>
          </w:tcPr>
          <w:p w14:paraId="7E8BEB0B">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危废代码</w:t>
            </w:r>
          </w:p>
        </w:tc>
        <w:tc>
          <w:tcPr>
            <w:tcW w:w="1532" w:type="dxa"/>
            <w:shd w:val="clear" w:color="auto" w:fill="auto"/>
            <w:noWrap/>
            <w:vAlign w:val="center"/>
          </w:tcPr>
          <w:p w14:paraId="73CCC13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单组分预估重量</w:t>
            </w:r>
          </w:p>
          <w:p w14:paraId="04F9D594">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（吨）</w:t>
            </w:r>
          </w:p>
        </w:tc>
        <w:tc>
          <w:tcPr>
            <w:tcW w:w="1015" w:type="dxa"/>
            <w:shd w:val="clear" w:color="auto" w:fill="auto"/>
            <w:noWrap/>
            <w:vAlign w:val="center"/>
          </w:tcPr>
          <w:p w14:paraId="79EF590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总重</w:t>
            </w:r>
          </w:p>
          <w:p w14:paraId="7017470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（吨）</w:t>
            </w:r>
          </w:p>
        </w:tc>
        <w:tc>
          <w:tcPr>
            <w:tcW w:w="1458" w:type="dxa"/>
            <w:shd w:val="clear" w:color="auto" w:fill="auto"/>
            <w:noWrap/>
            <w:vAlign w:val="center"/>
          </w:tcPr>
          <w:p w14:paraId="7C82C216">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备注</w:t>
            </w:r>
          </w:p>
        </w:tc>
      </w:tr>
      <w:tr w14:paraId="6D1C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trPr>
        <w:tc>
          <w:tcPr>
            <w:tcW w:w="789" w:type="dxa"/>
            <w:vMerge w:val="restart"/>
            <w:shd w:val="clear" w:color="auto" w:fill="auto"/>
            <w:noWrap/>
            <w:vAlign w:val="center"/>
          </w:tcPr>
          <w:p w14:paraId="7211951A">
            <w:pPr>
              <w:pageBreakBefore w:val="0"/>
              <w:widowControl/>
              <w:numPr>
                <w:ilvl w:val="0"/>
                <w:numId w:val="4"/>
              </w:numPr>
              <w:kinsoku/>
              <w:wordWrap/>
              <w:overflowPunct/>
              <w:topLinePunct w:val="0"/>
              <w:autoSpaceDE/>
              <w:autoSpaceDN/>
              <w:bidi w:val="0"/>
              <w:adjustRightInd/>
              <w:snapToGrid/>
              <w:spacing w:line="560" w:lineRule="atLeast"/>
              <w:ind w:left="425" w:leftChars="0" w:hanging="425" w:firstLineChars="0"/>
              <w:jc w:val="center"/>
              <w:textAlignment w:val="center"/>
              <w:rPr>
                <w:rFonts w:hint="eastAsia" w:ascii="宋体" w:hAnsi="宋体" w:eastAsia="宋体" w:cs="宋体"/>
                <w:color w:val="000000"/>
                <w:kern w:val="0"/>
                <w:sz w:val="24"/>
                <w:szCs w:val="24"/>
                <w:lang w:bidi="ar"/>
              </w:rPr>
            </w:pPr>
          </w:p>
        </w:tc>
        <w:tc>
          <w:tcPr>
            <w:tcW w:w="983" w:type="dxa"/>
            <w:vMerge w:val="restart"/>
            <w:shd w:val="clear" w:color="auto" w:fill="auto"/>
            <w:noWrap/>
            <w:vAlign w:val="center"/>
          </w:tcPr>
          <w:p w14:paraId="15E259A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废水站污泥</w:t>
            </w:r>
          </w:p>
        </w:tc>
        <w:tc>
          <w:tcPr>
            <w:tcW w:w="2587" w:type="dxa"/>
            <w:shd w:val="clear" w:color="auto" w:fill="auto"/>
            <w:noWrap/>
            <w:vAlign w:val="center"/>
          </w:tcPr>
          <w:p w14:paraId="430A9642">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废含铬钝化液</w:t>
            </w:r>
          </w:p>
        </w:tc>
        <w:tc>
          <w:tcPr>
            <w:tcW w:w="2222" w:type="dxa"/>
            <w:shd w:val="clear" w:color="auto" w:fill="auto"/>
            <w:noWrap/>
            <w:vAlign w:val="center"/>
          </w:tcPr>
          <w:p w14:paraId="017FB8A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HW17 336-064-17</w:t>
            </w:r>
          </w:p>
        </w:tc>
        <w:tc>
          <w:tcPr>
            <w:tcW w:w="1532" w:type="dxa"/>
            <w:shd w:val="clear" w:color="auto" w:fill="auto"/>
            <w:noWrap/>
            <w:vAlign w:val="center"/>
          </w:tcPr>
          <w:p w14:paraId="540F112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w:t>
            </w:r>
          </w:p>
        </w:tc>
        <w:tc>
          <w:tcPr>
            <w:tcW w:w="1015" w:type="dxa"/>
            <w:vMerge w:val="restart"/>
            <w:shd w:val="clear" w:color="auto" w:fill="auto"/>
            <w:noWrap/>
            <w:vAlign w:val="center"/>
          </w:tcPr>
          <w:p w14:paraId="7FD0A38C">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516</w:t>
            </w:r>
          </w:p>
        </w:tc>
        <w:tc>
          <w:tcPr>
            <w:tcW w:w="1458" w:type="dxa"/>
            <w:vMerge w:val="restart"/>
            <w:shd w:val="clear" w:color="auto" w:fill="auto"/>
            <w:noWrap/>
            <w:vAlign w:val="center"/>
          </w:tcPr>
          <w:p w14:paraId="4CC1CCD3">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处置方式应为非填埋</w:t>
            </w:r>
          </w:p>
        </w:tc>
      </w:tr>
      <w:tr w14:paraId="3BC5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7CEC863A">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2AC0719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61AEBAA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废润滑油</w:t>
            </w:r>
          </w:p>
        </w:tc>
        <w:tc>
          <w:tcPr>
            <w:tcW w:w="2222" w:type="dxa"/>
            <w:shd w:val="clear" w:color="auto" w:fill="auto"/>
            <w:noWrap/>
            <w:vAlign w:val="center"/>
          </w:tcPr>
          <w:p w14:paraId="46120779">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HW08 900-217-08</w:t>
            </w:r>
          </w:p>
        </w:tc>
        <w:tc>
          <w:tcPr>
            <w:tcW w:w="1532" w:type="dxa"/>
            <w:shd w:val="clear" w:color="auto" w:fill="auto"/>
            <w:noWrap/>
            <w:vAlign w:val="center"/>
          </w:tcPr>
          <w:p w14:paraId="46537C2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30</w:t>
            </w:r>
          </w:p>
        </w:tc>
        <w:tc>
          <w:tcPr>
            <w:tcW w:w="1015" w:type="dxa"/>
            <w:vMerge w:val="continue"/>
            <w:shd w:val="clear" w:color="auto" w:fill="auto"/>
            <w:noWrap/>
            <w:vAlign w:val="center"/>
          </w:tcPr>
          <w:p w14:paraId="4E869D37">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3DF0579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4519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24D4449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07050F69">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4DE44F7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废轧制油及油泥</w:t>
            </w:r>
          </w:p>
        </w:tc>
        <w:tc>
          <w:tcPr>
            <w:tcW w:w="2222" w:type="dxa"/>
            <w:shd w:val="clear" w:color="auto" w:fill="auto"/>
            <w:noWrap/>
            <w:vAlign w:val="center"/>
          </w:tcPr>
          <w:p w14:paraId="00FA01FD">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HW08 900-249-08</w:t>
            </w:r>
          </w:p>
        </w:tc>
        <w:tc>
          <w:tcPr>
            <w:tcW w:w="1532" w:type="dxa"/>
            <w:shd w:val="clear" w:color="auto" w:fill="auto"/>
            <w:noWrap/>
            <w:vAlign w:val="center"/>
          </w:tcPr>
          <w:p w14:paraId="530574B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200</w:t>
            </w:r>
          </w:p>
        </w:tc>
        <w:tc>
          <w:tcPr>
            <w:tcW w:w="1015" w:type="dxa"/>
            <w:vMerge w:val="continue"/>
            <w:shd w:val="clear" w:color="auto" w:fill="auto"/>
            <w:noWrap/>
            <w:vAlign w:val="center"/>
          </w:tcPr>
          <w:p w14:paraId="0A8B5357">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18ABF09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5E3B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2F18610D">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5B89BE9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0E57A07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废油漆</w:t>
            </w:r>
          </w:p>
        </w:tc>
        <w:tc>
          <w:tcPr>
            <w:tcW w:w="2222" w:type="dxa"/>
            <w:shd w:val="clear" w:color="auto" w:fill="auto"/>
            <w:noWrap/>
            <w:vAlign w:val="center"/>
          </w:tcPr>
          <w:p w14:paraId="3409A419">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HW12 900-299-12</w:t>
            </w:r>
          </w:p>
        </w:tc>
        <w:tc>
          <w:tcPr>
            <w:tcW w:w="1532" w:type="dxa"/>
            <w:shd w:val="clear" w:color="auto" w:fill="auto"/>
            <w:noWrap/>
            <w:vAlign w:val="center"/>
          </w:tcPr>
          <w:p w14:paraId="13709CA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w:t>
            </w:r>
          </w:p>
        </w:tc>
        <w:tc>
          <w:tcPr>
            <w:tcW w:w="1015" w:type="dxa"/>
            <w:vMerge w:val="continue"/>
            <w:shd w:val="clear" w:color="auto" w:fill="auto"/>
            <w:noWrap/>
            <w:vAlign w:val="center"/>
          </w:tcPr>
          <w:p w14:paraId="26E8B22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580F56F4">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3EB8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0185421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007BC407">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163F2662">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碱液过滤污泥</w:t>
            </w:r>
          </w:p>
        </w:tc>
        <w:tc>
          <w:tcPr>
            <w:tcW w:w="2222" w:type="dxa"/>
            <w:shd w:val="clear" w:color="auto" w:fill="auto"/>
            <w:noWrap/>
            <w:vAlign w:val="center"/>
          </w:tcPr>
          <w:p w14:paraId="16A16E23">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HW08 900-210-08</w:t>
            </w:r>
          </w:p>
        </w:tc>
        <w:tc>
          <w:tcPr>
            <w:tcW w:w="1532" w:type="dxa"/>
            <w:shd w:val="clear" w:color="auto" w:fill="auto"/>
            <w:noWrap/>
            <w:vAlign w:val="center"/>
          </w:tcPr>
          <w:p w14:paraId="60FB66AA">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30</w:t>
            </w:r>
          </w:p>
        </w:tc>
        <w:tc>
          <w:tcPr>
            <w:tcW w:w="1015" w:type="dxa"/>
            <w:vMerge w:val="continue"/>
            <w:shd w:val="clear" w:color="auto" w:fill="auto"/>
            <w:noWrap/>
            <w:vAlign w:val="center"/>
          </w:tcPr>
          <w:p w14:paraId="7819F49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37A8512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5783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0B23003D">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30A4F83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18D79A3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冷轧工艺污水处理污泥</w:t>
            </w:r>
          </w:p>
        </w:tc>
        <w:tc>
          <w:tcPr>
            <w:tcW w:w="2222" w:type="dxa"/>
            <w:shd w:val="clear" w:color="auto" w:fill="auto"/>
            <w:noWrap/>
            <w:vAlign w:val="center"/>
          </w:tcPr>
          <w:p w14:paraId="5535C47B">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HW08 900-210-08</w:t>
            </w:r>
          </w:p>
        </w:tc>
        <w:tc>
          <w:tcPr>
            <w:tcW w:w="1532" w:type="dxa"/>
            <w:shd w:val="clear" w:color="auto" w:fill="auto"/>
            <w:noWrap/>
            <w:vAlign w:val="center"/>
          </w:tcPr>
          <w:p w14:paraId="1B2EC639">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200</w:t>
            </w:r>
          </w:p>
        </w:tc>
        <w:tc>
          <w:tcPr>
            <w:tcW w:w="1015" w:type="dxa"/>
            <w:vMerge w:val="continue"/>
            <w:shd w:val="clear" w:color="auto" w:fill="auto"/>
            <w:noWrap/>
            <w:vAlign w:val="center"/>
          </w:tcPr>
          <w:p w14:paraId="5593005C">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5B0F711E">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055B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607E42FE">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7966707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165CB8D3">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实验室废液</w:t>
            </w:r>
          </w:p>
        </w:tc>
        <w:tc>
          <w:tcPr>
            <w:tcW w:w="2222" w:type="dxa"/>
            <w:shd w:val="clear" w:color="auto" w:fill="auto"/>
            <w:noWrap/>
            <w:vAlign w:val="center"/>
          </w:tcPr>
          <w:p w14:paraId="44C743AD">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HW49 900-047-49</w:t>
            </w:r>
          </w:p>
        </w:tc>
        <w:tc>
          <w:tcPr>
            <w:tcW w:w="1532" w:type="dxa"/>
            <w:shd w:val="clear" w:color="auto" w:fill="auto"/>
            <w:noWrap/>
            <w:vAlign w:val="center"/>
          </w:tcPr>
          <w:p w14:paraId="15D00F5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0.8</w:t>
            </w:r>
          </w:p>
        </w:tc>
        <w:tc>
          <w:tcPr>
            <w:tcW w:w="1015" w:type="dxa"/>
            <w:vMerge w:val="continue"/>
            <w:shd w:val="clear" w:color="auto" w:fill="auto"/>
            <w:noWrap/>
            <w:vAlign w:val="center"/>
          </w:tcPr>
          <w:p w14:paraId="1B4C65EF">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1945E1FC">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251B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41A8B2E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3A13A2D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25462AF2">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实验室废试剂</w:t>
            </w:r>
          </w:p>
        </w:tc>
        <w:tc>
          <w:tcPr>
            <w:tcW w:w="2222" w:type="dxa"/>
            <w:shd w:val="clear" w:color="auto" w:fill="auto"/>
            <w:noWrap/>
            <w:vAlign w:val="center"/>
          </w:tcPr>
          <w:p w14:paraId="06E09D2A">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HW49 900-047-49</w:t>
            </w:r>
          </w:p>
        </w:tc>
        <w:tc>
          <w:tcPr>
            <w:tcW w:w="1532" w:type="dxa"/>
            <w:shd w:val="clear" w:color="auto" w:fill="auto"/>
            <w:noWrap/>
            <w:vAlign w:val="center"/>
          </w:tcPr>
          <w:p w14:paraId="7FF4C77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0.1</w:t>
            </w:r>
          </w:p>
        </w:tc>
        <w:tc>
          <w:tcPr>
            <w:tcW w:w="1015" w:type="dxa"/>
            <w:vMerge w:val="continue"/>
            <w:shd w:val="clear" w:color="auto" w:fill="auto"/>
            <w:noWrap/>
            <w:vAlign w:val="center"/>
          </w:tcPr>
          <w:p w14:paraId="7C3FB3E4">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485FAE5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1D9C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56D80787">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17894187">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7BA9558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沾染</w:t>
            </w:r>
            <w:r>
              <w:rPr>
                <w:rFonts w:hint="default"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val="en-US" w:eastAsia="zh-CN" w:bidi="ar"/>
              </w:rPr>
              <w:t>过滤油类物废物</w:t>
            </w:r>
          </w:p>
        </w:tc>
        <w:tc>
          <w:tcPr>
            <w:tcW w:w="2222" w:type="dxa"/>
            <w:shd w:val="clear" w:color="auto" w:fill="auto"/>
            <w:noWrap/>
            <w:vAlign w:val="center"/>
          </w:tcPr>
          <w:p w14:paraId="79D05A6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HW49 900-041-49</w:t>
            </w:r>
          </w:p>
        </w:tc>
        <w:tc>
          <w:tcPr>
            <w:tcW w:w="1532" w:type="dxa"/>
            <w:shd w:val="clear" w:color="auto" w:fill="auto"/>
            <w:noWrap/>
            <w:vAlign w:val="center"/>
          </w:tcPr>
          <w:p w14:paraId="14A9760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28</w:t>
            </w:r>
          </w:p>
        </w:tc>
        <w:tc>
          <w:tcPr>
            <w:tcW w:w="1015" w:type="dxa"/>
            <w:vMerge w:val="continue"/>
            <w:shd w:val="clear" w:color="auto" w:fill="auto"/>
            <w:noWrap/>
            <w:vAlign w:val="center"/>
          </w:tcPr>
          <w:p w14:paraId="4FFE47CC">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0268A9D4">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514A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28DCD1B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0928BD99">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2B36A38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废硒鼓、墨盒</w:t>
            </w:r>
          </w:p>
        </w:tc>
        <w:tc>
          <w:tcPr>
            <w:tcW w:w="2222" w:type="dxa"/>
            <w:shd w:val="clear" w:color="auto" w:fill="auto"/>
            <w:noWrap/>
            <w:vAlign w:val="center"/>
          </w:tcPr>
          <w:p w14:paraId="3BF9DD62">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HW49 900-041-49</w:t>
            </w:r>
          </w:p>
        </w:tc>
        <w:tc>
          <w:tcPr>
            <w:tcW w:w="1532" w:type="dxa"/>
            <w:shd w:val="clear" w:color="auto" w:fill="auto"/>
            <w:noWrap/>
            <w:vAlign w:val="center"/>
          </w:tcPr>
          <w:p w14:paraId="7E8ACE9E">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eastAsia="zh-CN" w:bidi="ar"/>
              </w:rPr>
              <w:t>1.1</w:t>
            </w:r>
          </w:p>
        </w:tc>
        <w:tc>
          <w:tcPr>
            <w:tcW w:w="1015" w:type="dxa"/>
            <w:vMerge w:val="continue"/>
            <w:shd w:val="clear" w:color="auto" w:fill="auto"/>
            <w:noWrap/>
            <w:vAlign w:val="center"/>
          </w:tcPr>
          <w:p w14:paraId="6648BDE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44F056EA">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26DB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restart"/>
            <w:shd w:val="clear" w:color="auto" w:fill="auto"/>
            <w:noWrap/>
            <w:vAlign w:val="center"/>
          </w:tcPr>
          <w:p w14:paraId="38A33D94">
            <w:pPr>
              <w:pageBreakBefore w:val="0"/>
              <w:widowControl/>
              <w:numPr>
                <w:ilvl w:val="0"/>
                <w:numId w:val="4"/>
              </w:numPr>
              <w:kinsoku/>
              <w:wordWrap/>
              <w:overflowPunct/>
              <w:topLinePunct w:val="0"/>
              <w:autoSpaceDE/>
              <w:autoSpaceDN/>
              <w:bidi w:val="0"/>
              <w:adjustRightInd/>
              <w:snapToGrid/>
              <w:spacing w:line="560" w:lineRule="atLeast"/>
              <w:ind w:left="425" w:leftChars="0" w:hanging="425" w:firstLineChars="0"/>
              <w:jc w:val="center"/>
              <w:textAlignment w:val="center"/>
              <w:rPr>
                <w:rFonts w:hint="eastAsia" w:ascii="宋体" w:hAnsi="宋体" w:eastAsia="宋体" w:cs="宋体"/>
                <w:color w:val="000000"/>
                <w:kern w:val="0"/>
                <w:sz w:val="24"/>
                <w:szCs w:val="24"/>
                <w:lang w:bidi="ar"/>
              </w:rPr>
            </w:pPr>
          </w:p>
        </w:tc>
        <w:tc>
          <w:tcPr>
            <w:tcW w:w="983" w:type="dxa"/>
            <w:vMerge w:val="restart"/>
            <w:shd w:val="clear" w:color="auto" w:fill="auto"/>
            <w:noWrap/>
            <w:vAlign w:val="center"/>
          </w:tcPr>
          <w:p w14:paraId="5B3094FB">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废旧填料</w:t>
            </w:r>
          </w:p>
        </w:tc>
        <w:tc>
          <w:tcPr>
            <w:tcW w:w="2587" w:type="dxa"/>
            <w:shd w:val="clear" w:color="auto" w:fill="auto"/>
            <w:noWrap/>
            <w:vAlign w:val="center"/>
          </w:tcPr>
          <w:p w14:paraId="5E733216">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废氧化铝瓷球</w:t>
            </w:r>
          </w:p>
        </w:tc>
        <w:tc>
          <w:tcPr>
            <w:tcW w:w="2222" w:type="dxa"/>
            <w:shd w:val="clear" w:color="auto" w:fill="auto"/>
            <w:noWrap/>
            <w:vAlign w:val="center"/>
          </w:tcPr>
          <w:p w14:paraId="13D5974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HW49 900-041-49</w:t>
            </w:r>
          </w:p>
        </w:tc>
        <w:tc>
          <w:tcPr>
            <w:tcW w:w="1532" w:type="dxa"/>
            <w:shd w:val="clear" w:color="auto" w:fill="auto"/>
            <w:noWrap/>
            <w:vAlign w:val="center"/>
          </w:tcPr>
          <w:p w14:paraId="12B269EA">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100</w:t>
            </w:r>
          </w:p>
        </w:tc>
        <w:tc>
          <w:tcPr>
            <w:tcW w:w="1015" w:type="dxa"/>
            <w:vMerge w:val="restart"/>
            <w:shd w:val="clear" w:color="auto" w:fill="auto"/>
            <w:noWrap/>
            <w:vAlign w:val="center"/>
          </w:tcPr>
          <w:p w14:paraId="340D3AC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1130</w:t>
            </w:r>
          </w:p>
        </w:tc>
        <w:tc>
          <w:tcPr>
            <w:tcW w:w="1458" w:type="dxa"/>
            <w:vMerge w:val="restart"/>
            <w:shd w:val="clear" w:color="auto" w:fill="auto"/>
            <w:noWrap/>
            <w:vAlign w:val="center"/>
          </w:tcPr>
          <w:p w14:paraId="0981093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处置方式应为非填埋</w:t>
            </w:r>
          </w:p>
        </w:tc>
      </w:tr>
      <w:tr w14:paraId="1DF2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07AE25F0">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983" w:type="dxa"/>
            <w:vMerge w:val="continue"/>
            <w:shd w:val="clear" w:color="auto" w:fill="auto"/>
            <w:noWrap/>
            <w:vAlign w:val="center"/>
          </w:tcPr>
          <w:p w14:paraId="3AEB62F2">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bidi="ar"/>
              </w:rPr>
            </w:pPr>
          </w:p>
        </w:tc>
        <w:tc>
          <w:tcPr>
            <w:tcW w:w="2587" w:type="dxa"/>
            <w:shd w:val="clear" w:color="auto" w:fill="auto"/>
            <w:noWrap/>
            <w:vAlign w:val="center"/>
          </w:tcPr>
          <w:p w14:paraId="2BE9B6E6">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废氧化铁脱硫剂</w:t>
            </w:r>
          </w:p>
        </w:tc>
        <w:tc>
          <w:tcPr>
            <w:tcW w:w="2222" w:type="dxa"/>
            <w:shd w:val="clear" w:color="auto" w:fill="auto"/>
            <w:noWrap/>
            <w:vAlign w:val="center"/>
          </w:tcPr>
          <w:p w14:paraId="5CC47683">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HW49 900-041-49</w:t>
            </w:r>
          </w:p>
        </w:tc>
        <w:tc>
          <w:tcPr>
            <w:tcW w:w="1532" w:type="dxa"/>
            <w:shd w:val="clear" w:color="auto" w:fill="auto"/>
            <w:noWrap/>
            <w:vAlign w:val="center"/>
          </w:tcPr>
          <w:p w14:paraId="0ADE6C57">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1030</w:t>
            </w:r>
          </w:p>
        </w:tc>
        <w:tc>
          <w:tcPr>
            <w:tcW w:w="1015" w:type="dxa"/>
            <w:vMerge w:val="continue"/>
            <w:shd w:val="clear" w:color="auto" w:fill="auto"/>
            <w:noWrap/>
            <w:vAlign w:val="center"/>
          </w:tcPr>
          <w:p w14:paraId="2F365EFC">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3AA9660B">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r>
      <w:tr w14:paraId="018E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9" w:hRule="atLeast"/>
        </w:trPr>
        <w:tc>
          <w:tcPr>
            <w:tcW w:w="789" w:type="dxa"/>
            <w:vMerge w:val="restart"/>
            <w:shd w:val="clear" w:color="auto" w:fill="auto"/>
            <w:noWrap/>
            <w:vAlign w:val="center"/>
          </w:tcPr>
          <w:p w14:paraId="1F2EFDD0">
            <w:pPr>
              <w:pageBreakBefore w:val="0"/>
              <w:widowControl/>
              <w:numPr>
                <w:ilvl w:val="0"/>
                <w:numId w:val="4"/>
              </w:numPr>
              <w:kinsoku/>
              <w:wordWrap/>
              <w:overflowPunct/>
              <w:topLinePunct w:val="0"/>
              <w:autoSpaceDE/>
              <w:autoSpaceDN/>
              <w:bidi w:val="0"/>
              <w:adjustRightInd/>
              <w:snapToGrid/>
              <w:spacing w:line="560" w:lineRule="atLeast"/>
              <w:ind w:left="425" w:leftChars="0" w:hanging="425" w:firstLineChars="0"/>
              <w:jc w:val="center"/>
              <w:textAlignment w:val="center"/>
              <w:rPr>
                <w:rFonts w:hint="eastAsia" w:ascii="宋体" w:hAnsi="宋体" w:eastAsia="宋体" w:cs="宋体"/>
                <w:i w:val="0"/>
                <w:iCs w:val="0"/>
                <w:color w:val="000000"/>
                <w:sz w:val="22"/>
                <w:szCs w:val="22"/>
                <w:u w:val="none"/>
              </w:rPr>
            </w:pPr>
          </w:p>
        </w:tc>
        <w:tc>
          <w:tcPr>
            <w:tcW w:w="983" w:type="dxa"/>
            <w:vMerge w:val="restart"/>
            <w:shd w:val="clear" w:color="auto" w:fill="auto"/>
            <w:noWrap/>
            <w:vAlign w:val="center"/>
          </w:tcPr>
          <w:p w14:paraId="101A2972">
            <w:pPr>
              <w:pageBreakBefore w:val="0"/>
              <w:widowControl/>
              <w:kinsoku/>
              <w:wordWrap/>
              <w:overflowPunct/>
              <w:topLinePunct w:val="0"/>
              <w:autoSpaceDE/>
              <w:autoSpaceDN/>
              <w:bidi w:val="0"/>
              <w:adjustRightInd/>
              <w:snapToGrid/>
              <w:spacing w:line="560" w:lineRule="atLeast"/>
              <w:jc w:val="center"/>
              <w:textAlignment w:val="center"/>
              <w:rPr>
                <w:rFonts w:hint="eastAsia" w:ascii="微软雅黑" w:hAnsi="微软雅黑" w:eastAsia="微软雅黑" w:cs="微软雅黑"/>
                <w:i w:val="0"/>
                <w:iCs w:val="0"/>
                <w:color w:val="000000"/>
                <w:sz w:val="22"/>
                <w:szCs w:val="22"/>
                <w:u w:val="none"/>
              </w:rPr>
            </w:pPr>
            <w:r>
              <w:rPr>
                <w:rFonts w:hint="eastAsia" w:ascii="宋体" w:hAnsi="宋体" w:eastAsia="宋体" w:cs="宋体"/>
                <w:color w:val="000000"/>
                <w:kern w:val="0"/>
                <w:sz w:val="24"/>
                <w:szCs w:val="24"/>
                <w:lang w:val="en-US" w:eastAsia="zh-CN" w:bidi="ar"/>
              </w:rPr>
              <w:t>废矿物油</w:t>
            </w:r>
          </w:p>
        </w:tc>
        <w:tc>
          <w:tcPr>
            <w:tcW w:w="2587" w:type="dxa"/>
            <w:shd w:val="clear" w:color="auto" w:fill="auto"/>
            <w:noWrap/>
            <w:vAlign w:val="center"/>
          </w:tcPr>
          <w:p w14:paraId="4636CA08">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废矿物油</w:t>
            </w:r>
          </w:p>
        </w:tc>
        <w:tc>
          <w:tcPr>
            <w:tcW w:w="2222" w:type="dxa"/>
            <w:shd w:val="clear" w:color="auto" w:fill="auto"/>
            <w:noWrap/>
            <w:vAlign w:val="center"/>
          </w:tcPr>
          <w:p w14:paraId="3AB83A03">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HW08 900-249-08</w:t>
            </w:r>
          </w:p>
        </w:tc>
        <w:tc>
          <w:tcPr>
            <w:tcW w:w="1532" w:type="dxa"/>
            <w:shd w:val="clear" w:color="auto" w:fill="auto"/>
            <w:noWrap/>
            <w:vAlign w:val="center"/>
          </w:tcPr>
          <w:p w14:paraId="33D2756E">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57.5</w:t>
            </w:r>
          </w:p>
        </w:tc>
        <w:tc>
          <w:tcPr>
            <w:tcW w:w="1015" w:type="dxa"/>
            <w:vMerge w:val="restart"/>
            <w:shd w:val="clear" w:color="auto" w:fill="auto"/>
            <w:noWrap/>
            <w:vAlign w:val="center"/>
          </w:tcPr>
          <w:p w14:paraId="2BA47EFE">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64.5</w:t>
            </w:r>
          </w:p>
        </w:tc>
        <w:tc>
          <w:tcPr>
            <w:tcW w:w="1458" w:type="dxa"/>
            <w:vMerge w:val="restart"/>
            <w:shd w:val="clear" w:color="auto" w:fill="auto"/>
            <w:noWrap/>
            <w:vAlign w:val="center"/>
          </w:tcPr>
          <w:p w14:paraId="3A0B90C9">
            <w:pPr>
              <w:pageBreakBefore w:val="0"/>
              <w:kinsoku/>
              <w:wordWrap/>
              <w:overflowPunct/>
              <w:topLinePunct w:val="0"/>
              <w:autoSpaceDE/>
              <w:autoSpaceDN/>
              <w:bidi w:val="0"/>
              <w:adjustRightInd/>
              <w:snapToGrid/>
              <w:spacing w:line="560" w:lineRule="atLeast"/>
              <w:jc w:val="center"/>
              <w:rPr>
                <w:rFonts w:hint="default" w:ascii="微软雅黑" w:hAnsi="微软雅黑" w:eastAsia="微软雅黑" w:cs="微软雅黑"/>
                <w:i w:val="0"/>
                <w:iCs w:val="0"/>
                <w:color w:val="000000"/>
                <w:sz w:val="22"/>
                <w:szCs w:val="22"/>
                <w:u w:val="none"/>
                <w:lang w:val="en-US" w:eastAsia="zh-CN"/>
              </w:rPr>
            </w:pPr>
          </w:p>
        </w:tc>
      </w:tr>
      <w:tr w14:paraId="755F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vMerge w:val="continue"/>
            <w:shd w:val="clear" w:color="auto" w:fill="auto"/>
            <w:noWrap/>
            <w:vAlign w:val="center"/>
          </w:tcPr>
          <w:p w14:paraId="720EBD3A">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i w:val="0"/>
                <w:iCs w:val="0"/>
                <w:color w:val="000000"/>
                <w:sz w:val="22"/>
                <w:szCs w:val="22"/>
                <w:u w:val="none"/>
              </w:rPr>
            </w:pPr>
          </w:p>
        </w:tc>
        <w:tc>
          <w:tcPr>
            <w:tcW w:w="983" w:type="dxa"/>
            <w:vMerge w:val="continue"/>
            <w:shd w:val="clear" w:color="auto" w:fill="auto"/>
            <w:noWrap/>
            <w:vAlign w:val="center"/>
          </w:tcPr>
          <w:p w14:paraId="111A987B">
            <w:pPr>
              <w:pageBreakBefore w:val="0"/>
              <w:widowControl/>
              <w:kinsoku/>
              <w:wordWrap/>
              <w:overflowPunct/>
              <w:topLinePunct w:val="0"/>
              <w:autoSpaceDE/>
              <w:autoSpaceDN/>
              <w:bidi w:val="0"/>
              <w:adjustRightInd/>
              <w:snapToGrid/>
              <w:spacing w:line="560" w:lineRule="atLeast"/>
              <w:jc w:val="center"/>
              <w:textAlignment w:val="center"/>
              <w:rPr>
                <w:rFonts w:hint="eastAsia" w:ascii="微软雅黑" w:hAnsi="微软雅黑" w:eastAsia="微软雅黑" w:cs="微软雅黑"/>
                <w:i w:val="0"/>
                <w:iCs w:val="0"/>
                <w:color w:val="000000"/>
                <w:sz w:val="22"/>
                <w:szCs w:val="22"/>
                <w:u w:val="none"/>
              </w:rPr>
            </w:pPr>
          </w:p>
        </w:tc>
        <w:tc>
          <w:tcPr>
            <w:tcW w:w="2587" w:type="dxa"/>
            <w:shd w:val="clear" w:color="auto" w:fill="auto"/>
            <w:noWrap/>
            <w:vAlign w:val="center"/>
          </w:tcPr>
          <w:p w14:paraId="60AB65D5">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废液压油</w:t>
            </w:r>
          </w:p>
        </w:tc>
        <w:tc>
          <w:tcPr>
            <w:tcW w:w="2222" w:type="dxa"/>
            <w:shd w:val="clear" w:color="auto" w:fill="auto"/>
            <w:noWrap/>
            <w:vAlign w:val="center"/>
          </w:tcPr>
          <w:p w14:paraId="0C179682">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HW08 900-218-08</w:t>
            </w:r>
          </w:p>
        </w:tc>
        <w:tc>
          <w:tcPr>
            <w:tcW w:w="1532" w:type="dxa"/>
            <w:shd w:val="clear" w:color="auto" w:fill="auto"/>
            <w:noWrap/>
            <w:vAlign w:val="center"/>
          </w:tcPr>
          <w:p w14:paraId="5D2BAF1F">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w:t>
            </w:r>
          </w:p>
        </w:tc>
        <w:tc>
          <w:tcPr>
            <w:tcW w:w="1015" w:type="dxa"/>
            <w:vMerge w:val="continue"/>
            <w:shd w:val="clear" w:color="auto" w:fill="auto"/>
            <w:noWrap/>
            <w:vAlign w:val="center"/>
          </w:tcPr>
          <w:p w14:paraId="6515AE01">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p>
        </w:tc>
        <w:tc>
          <w:tcPr>
            <w:tcW w:w="1458" w:type="dxa"/>
            <w:vMerge w:val="continue"/>
            <w:shd w:val="clear" w:color="auto" w:fill="auto"/>
            <w:noWrap/>
            <w:vAlign w:val="center"/>
          </w:tcPr>
          <w:p w14:paraId="73DE441E">
            <w:pPr>
              <w:pageBreakBefore w:val="0"/>
              <w:kinsoku/>
              <w:wordWrap/>
              <w:overflowPunct/>
              <w:topLinePunct w:val="0"/>
              <w:autoSpaceDE/>
              <w:autoSpaceDN/>
              <w:bidi w:val="0"/>
              <w:adjustRightInd/>
              <w:snapToGrid/>
              <w:spacing w:line="560" w:lineRule="atLeast"/>
              <w:jc w:val="center"/>
              <w:rPr>
                <w:rFonts w:hint="eastAsia" w:ascii="微软雅黑" w:hAnsi="微软雅黑" w:eastAsia="微软雅黑" w:cs="微软雅黑"/>
                <w:i w:val="0"/>
                <w:iCs w:val="0"/>
                <w:color w:val="000000"/>
                <w:sz w:val="22"/>
                <w:szCs w:val="22"/>
                <w:u w:val="none"/>
              </w:rPr>
            </w:pPr>
          </w:p>
        </w:tc>
      </w:tr>
      <w:tr w14:paraId="300F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89" w:type="dxa"/>
            <w:shd w:val="clear" w:color="auto" w:fill="auto"/>
            <w:noWrap/>
            <w:vAlign w:val="center"/>
          </w:tcPr>
          <w:p w14:paraId="56B89DED">
            <w:pPr>
              <w:pageBreakBefore w:val="0"/>
              <w:widowControl/>
              <w:numPr>
                <w:ilvl w:val="0"/>
                <w:numId w:val="4"/>
              </w:numPr>
              <w:kinsoku/>
              <w:wordWrap/>
              <w:overflowPunct/>
              <w:topLinePunct w:val="0"/>
              <w:autoSpaceDE/>
              <w:autoSpaceDN/>
              <w:bidi w:val="0"/>
              <w:adjustRightInd/>
              <w:snapToGrid/>
              <w:spacing w:line="560" w:lineRule="atLeast"/>
              <w:ind w:left="425" w:leftChars="0" w:hanging="425" w:firstLineChars="0"/>
              <w:jc w:val="center"/>
              <w:textAlignment w:val="center"/>
              <w:rPr>
                <w:rFonts w:hint="eastAsia" w:ascii="宋体" w:hAnsi="宋体" w:eastAsia="宋体" w:cs="宋体"/>
                <w:i w:val="0"/>
                <w:iCs w:val="0"/>
                <w:color w:val="000000"/>
                <w:sz w:val="22"/>
                <w:szCs w:val="22"/>
                <w:u w:val="none"/>
              </w:rPr>
            </w:pPr>
          </w:p>
        </w:tc>
        <w:tc>
          <w:tcPr>
            <w:tcW w:w="983" w:type="dxa"/>
            <w:shd w:val="clear" w:color="auto" w:fill="auto"/>
            <w:noWrap/>
            <w:vAlign w:val="center"/>
          </w:tcPr>
          <w:p w14:paraId="759098B9">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废铅酸蓄电池</w:t>
            </w:r>
          </w:p>
        </w:tc>
        <w:tc>
          <w:tcPr>
            <w:tcW w:w="2587" w:type="dxa"/>
            <w:shd w:val="clear" w:color="auto" w:fill="auto"/>
            <w:noWrap/>
            <w:vAlign w:val="center"/>
          </w:tcPr>
          <w:p w14:paraId="24F03476">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废铅酸蓄电池</w:t>
            </w:r>
          </w:p>
        </w:tc>
        <w:tc>
          <w:tcPr>
            <w:tcW w:w="2222" w:type="dxa"/>
            <w:shd w:val="clear" w:color="auto" w:fill="auto"/>
            <w:noWrap/>
            <w:vAlign w:val="center"/>
          </w:tcPr>
          <w:p w14:paraId="6FD81FCF">
            <w:pPr>
              <w:pageBreakBefore w:val="0"/>
              <w:widowControl/>
              <w:kinsoku/>
              <w:wordWrap/>
              <w:overflowPunct/>
              <w:topLinePunct w:val="0"/>
              <w:autoSpaceDE/>
              <w:autoSpaceDN/>
              <w:bidi w:val="0"/>
              <w:adjustRightInd/>
              <w:snapToGrid/>
              <w:spacing w:line="560" w:lineRule="atLeas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HW31 900-052-31</w:t>
            </w:r>
          </w:p>
        </w:tc>
        <w:tc>
          <w:tcPr>
            <w:tcW w:w="1532" w:type="dxa"/>
            <w:shd w:val="clear" w:color="auto" w:fill="auto"/>
            <w:noWrap/>
            <w:vAlign w:val="center"/>
          </w:tcPr>
          <w:p w14:paraId="236D3914">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29</w:t>
            </w:r>
          </w:p>
        </w:tc>
        <w:tc>
          <w:tcPr>
            <w:tcW w:w="1015" w:type="dxa"/>
            <w:shd w:val="clear" w:color="auto" w:fill="auto"/>
            <w:noWrap/>
            <w:vAlign w:val="center"/>
          </w:tcPr>
          <w:p w14:paraId="61A34B3D">
            <w:pPr>
              <w:pageBreakBefore w:val="0"/>
              <w:widowControl/>
              <w:kinsoku/>
              <w:wordWrap/>
              <w:overflowPunct/>
              <w:topLinePunct w:val="0"/>
              <w:autoSpaceDE/>
              <w:autoSpaceDN/>
              <w:bidi w:val="0"/>
              <w:adjustRightInd/>
              <w:snapToGrid/>
              <w:spacing w:line="560" w:lineRule="atLeas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29</w:t>
            </w:r>
          </w:p>
        </w:tc>
        <w:tc>
          <w:tcPr>
            <w:tcW w:w="1458" w:type="dxa"/>
            <w:shd w:val="clear" w:color="auto" w:fill="auto"/>
            <w:noWrap/>
            <w:vAlign w:val="center"/>
          </w:tcPr>
          <w:p w14:paraId="7910FEA5">
            <w:pPr>
              <w:pageBreakBefore w:val="0"/>
              <w:kinsoku/>
              <w:wordWrap/>
              <w:overflowPunct/>
              <w:topLinePunct w:val="0"/>
              <w:autoSpaceDE/>
              <w:autoSpaceDN/>
              <w:bidi w:val="0"/>
              <w:adjustRightInd/>
              <w:snapToGrid/>
              <w:spacing w:line="560" w:lineRule="atLeast"/>
              <w:jc w:val="center"/>
              <w:rPr>
                <w:rFonts w:hint="eastAsia" w:ascii="微软雅黑" w:hAnsi="微软雅黑" w:eastAsia="微软雅黑" w:cs="微软雅黑"/>
                <w:i w:val="0"/>
                <w:iCs w:val="0"/>
                <w:color w:val="000000"/>
                <w:sz w:val="22"/>
                <w:szCs w:val="22"/>
                <w:u w:val="none"/>
              </w:rPr>
            </w:pPr>
          </w:p>
        </w:tc>
      </w:tr>
    </w:tbl>
    <w:p w14:paraId="6B9E1A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黑体" w:hAnsi="黑体" w:eastAsia="黑体" w:cs="黑体"/>
          <w:color w:val="auto"/>
          <w:kern w:val="0"/>
          <w:sz w:val="28"/>
          <w:szCs w:val="28"/>
          <w:lang w:val="en-US" w:eastAsia="zh-CN"/>
        </w:rPr>
      </w:pPr>
      <w:bookmarkStart w:id="9" w:name="_GoBack"/>
      <w:bookmarkEnd w:id="9"/>
      <w:r>
        <w:rPr>
          <w:rFonts w:hint="eastAsia" w:ascii="黑体" w:hAnsi="黑体" w:eastAsia="黑体" w:cs="黑体"/>
          <w:color w:val="auto"/>
          <w:kern w:val="0"/>
          <w:sz w:val="28"/>
          <w:szCs w:val="28"/>
          <w:lang w:val="en-US" w:eastAsia="zh-CN"/>
        </w:rPr>
        <w:t>以上货品为期货，重量单位为吨，为预估数量，以拍卖方的实际出库的重量为准，不接受由于预估数量差异或货品指标差异而产生的任何异议。</w:t>
      </w:r>
      <w:r>
        <w:rPr>
          <w:rFonts w:hint="eastAsia" w:ascii="黑体" w:hAnsi="黑体" w:eastAsia="黑体" w:cs="黑体"/>
          <w:color w:val="auto"/>
          <w:kern w:val="0"/>
          <w:sz w:val="28"/>
          <w:szCs w:val="28"/>
          <w:em w:val="dot"/>
          <w:lang w:val="en-US" w:eastAsia="zh-CN"/>
        </w:rPr>
        <w:t>注意，各标的废旧物资须以整体报价，不进行除杂</w:t>
      </w:r>
      <w:r>
        <w:rPr>
          <w:rFonts w:hint="eastAsia" w:ascii="黑体" w:hAnsi="黑体" w:eastAsia="黑体" w:cs="黑体"/>
          <w:color w:val="auto"/>
          <w:kern w:val="0"/>
          <w:sz w:val="28"/>
          <w:szCs w:val="28"/>
          <w:lang w:val="en-US" w:eastAsia="zh-CN"/>
        </w:rPr>
        <w:t>。不出具质保书、不受理异议。资源储存在山东钢铁集团日照有限公司各分厂。</w:t>
      </w:r>
    </w:p>
    <w:p w14:paraId="02714174">
      <w:pPr>
        <w:pageBreakBefore w:val="0"/>
        <w:numPr>
          <w:ilvl w:val="0"/>
          <w:numId w:val="5"/>
        </w:numPr>
        <w:kinsoku/>
        <w:wordWrap/>
        <w:overflowPunct/>
        <w:topLinePunct w:val="0"/>
        <w:autoSpaceDE/>
        <w:autoSpaceDN/>
        <w:bidi w:val="0"/>
        <w:adjustRightInd/>
        <w:snapToGrid/>
        <w:spacing w:line="560" w:lineRule="exact"/>
        <w:ind w:left="0" w:leftChars="0" w:firstLine="560" w:firstLineChars="200"/>
        <w:rPr>
          <w:rFonts w:hint="eastAsia" w:ascii="黑体" w:hAnsi="黑体" w:eastAsia="黑体" w:cs="黑体"/>
          <w:b w:val="0"/>
          <w:bCs/>
          <w:kern w:val="0"/>
          <w:sz w:val="28"/>
          <w:szCs w:val="28"/>
        </w:rPr>
      </w:pPr>
      <w:r>
        <w:rPr>
          <w:rFonts w:hint="eastAsia" w:ascii="黑体" w:hAnsi="黑体" w:eastAsia="黑体" w:cs="黑体"/>
          <w:b w:val="0"/>
          <w:bCs/>
          <w:kern w:val="0"/>
          <w:sz w:val="28"/>
          <w:szCs w:val="28"/>
        </w:rPr>
        <w:t>每次派车两种</w:t>
      </w:r>
      <w:r>
        <w:rPr>
          <w:rFonts w:hint="eastAsia" w:ascii="黑体" w:hAnsi="黑体" w:eastAsia="黑体" w:cs="黑体"/>
          <w:b w:val="0"/>
          <w:bCs/>
          <w:kern w:val="0"/>
          <w:sz w:val="28"/>
          <w:szCs w:val="28"/>
          <w:lang w:val="en-US" w:eastAsia="zh-CN"/>
        </w:rPr>
        <w:t>及以上</w:t>
      </w:r>
      <w:r>
        <w:rPr>
          <w:rFonts w:hint="eastAsia" w:ascii="黑体" w:hAnsi="黑体" w:eastAsia="黑体" w:cs="黑体"/>
          <w:b w:val="0"/>
          <w:bCs/>
          <w:kern w:val="0"/>
          <w:sz w:val="28"/>
          <w:szCs w:val="28"/>
        </w:rPr>
        <w:t>货品一并转移</w:t>
      </w:r>
      <w:r>
        <w:rPr>
          <w:rFonts w:hint="eastAsia" w:ascii="黑体" w:hAnsi="黑体" w:eastAsia="黑体" w:cs="黑体"/>
          <w:b w:val="0"/>
          <w:bCs/>
          <w:kern w:val="0"/>
          <w:sz w:val="28"/>
          <w:szCs w:val="28"/>
          <w:lang w:val="en-US" w:eastAsia="zh-CN"/>
        </w:rPr>
        <w:t>的</w:t>
      </w:r>
      <w:r>
        <w:rPr>
          <w:rFonts w:hint="eastAsia" w:ascii="黑体" w:hAnsi="黑体" w:eastAsia="黑体" w:cs="黑体"/>
          <w:b w:val="0"/>
          <w:bCs/>
          <w:kern w:val="0"/>
          <w:sz w:val="28"/>
          <w:szCs w:val="28"/>
        </w:rPr>
        <w:t>，分别开具联单。</w:t>
      </w:r>
    </w:p>
    <w:p w14:paraId="56C3413A">
      <w:pPr>
        <w:pageBreakBefore w:val="0"/>
        <w:numPr>
          <w:ilvl w:val="0"/>
          <w:numId w:val="5"/>
        </w:numPr>
        <w:kinsoku/>
        <w:wordWrap/>
        <w:overflowPunct/>
        <w:topLinePunct w:val="0"/>
        <w:autoSpaceDE/>
        <w:autoSpaceDN/>
        <w:bidi w:val="0"/>
        <w:adjustRightInd/>
        <w:snapToGrid/>
        <w:spacing w:line="560" w:lineRule="exact"/>
        <w:ind w:left="0" w:leftChars="0" w:firstLine="560" w:firstLineChars="200"/>
        <w:rPr>
          <w:rFonts w:hint="eastAsia" w:ascii="黑体" w:hAnsi="黑体" w:eastAsia="黑体" w:cs="黑体"/>
          <w:b w:val="0"/>
          <w:bCs/>
          <w:kern w:val="0"/>
          <w:sz w:val="28"/>
          <w:szCs w:val="28"/>
        </w:rPr>
      </w:pPr>
      <w:r>
        <w:rPr>
          <w:rFonts w:hint="eastAsia" w:ascii="黑体" w:hAnsi="黑体" w:eastAsia="黑体" w:cs="黑体"/>
          <w:b w:val="0"/>
          <w:bCs/>
          <w:kern w:val="0"/>
          <w:sz w:val="28"/>
          <w:szCs w:val="28"/>
          <w:lang w:val="en-US" w:eastAsia="zh-CN"/>
        </w:rPr>
        <w:t>危废对应产生期限为：2026年10月1日至2026年12月31日。</w:t>
      </w:r>
    </w:p>
    <w:p w14:paraId="7BC13FE3">
      <w:pPr>
        <w:pageBreakBefore w:val="0"/>
        <w:numPr>
          <w:ilvl w:val="0"/>
          <w:numId w:val="5"/>
        </w:numPr>
        <w:kinsoku/>
        <w:wordWrap/>
        <w:overflowPunct/>
        <w:topLinePunct w:val="0"/>
        <w:autoSpaceDE/>
        <w:autoSpaceDN/>
        <w:bidi w:val="0"/>
        <w:adjustRightInd/>
        <w:snapToGrid/>
        <w:spacing w:line="560" w:lineRule="exact"/>
        <w:ind w:left="0" w:leftChars="0" w:firstLine="560" w:firstLineChars="200"/>
        <w:rPr>
          <w:rFonts w:hint="eastAsia" w:ascii="黑体" w:hAnsi="黑体" w:eastAsia="黑体" w:cs="黑体"/>
          <w:b w:val="0"/>
          <w:bCs/>
          <w:kern w:val="0"/>
          <w:sz w:val="28"/>
          <w:szCs w:val="28"/>
        </w:rPr>
      </w:pPr>
      <w:r>
        <w:rPr>
          <w:rFonts w:hint="eastAsia" w:ascii="黑体" w:hAnsi="黑体" w:eastAsia="黑体" w:cs="黑体"/>
          <w:color w:val="auto"/>
          <w:kern w:val="0"/>
          <w:sz w:val="28"/>
          <w:szCs w:val="28"/>
          <w:em w:val="dot"/>
          <w:lang w:val="en-US" w:eastAsia="zh-CN"/>
        </w:rPr>
        <w:t>废矿物油类为含桶计重、报价。</w:t>
      </w:r>
    </w:p>
    <w:p w14:paraId="3C3010CD">
      <w:pPr>
        <w:pageBreakBefore w:val="0"/>
        <w:numPr>
          <w:ilvl w:val="0"/>
          <w:numId w:val="5"/>
        </w:numPr>
        <w:kinsoku/>
        <w:wordWrap/>
        <w:overflowPunct/>
        <w:topLinePunct w:val="0"/>
        <w:autoSpaceDE/>
        <w:autoSpaceDN/>
        <w:bidi w:val="0"/>
        <w:adjustRightInd/>
        <w:snapToGrid/>
        <w:spacing w:line="560" w:lineRule="exact"/>
        <w:ind w:left="0" w:leftChars="0" w:firstLine="560" w:firstLineChars="200"/>
        <w:rPr>
          <w:rFonts w:hint="eastAsia" w:ascii="黑体" w:hAnsi="黑体" w:eastAsia="黑体" w:cs="黑体"/>
          <w:b w:val="0"/>
          <w:bCs/>
          <w:kern w:val="0"/>
          <w:sz w:val="28"/>
          <w:szCs w:val="28"/>
        </w:rPr>
      </w:pPr>
      <w:r>
        <w:rPr>
          <w:rFonts w:hint="eastAsia" w:ascii="黑体" w:hAnsi="黑体" w:eastAsia="黑体" w:cs="黑体"/>
          <w:b w:val="0"/>
          <w:bCs/>
          <w:kern w:val="0"/>
          <w:sz w:val="28"/>
          <w:szCs w:val="28"/>
          <w:lang w:val="en-US" w:eastAsia="zh-CN"/>
        </w:rPr>
        <w:t>各包货品</w:t>
      </w:r>
      <w:r>
        <w:rPr>
          <w:rFonts w:hint="eastAsia" w:ascii="黑体" w:hAnsi="黑体" w:eastAsia="黑体" w:cs="黑体"/>
          <w:b w:val="0"/>
          <w:bCs/>
          <w:kern w:val="0"/>
          <w:sz w:val="28"/>
          <w:szCs w:val="28"/>
        </w:rPr>
        <w:t>入厂约车、过磅、出厂等需要投标方自行办理。流程问题可咨询相应客服电话。</w:t>
      </w:r>
    </w:p>
    <w:p w14:paraId="27F08B82">
      <w:pPr>
        <w:pageBreakBefore w:val="0"/>
        <w:numPr>
          <w:ilvl w:val="0"/>
          <w:numId w:val="5"/>
        </w:numPr>
        <w:kinsoku/>
        <w:wordWrap/>
        <w:overflowPunct/>
        <w:topLinePunct w:val="0"/>
        <w:autoSpaceDE/>
        <w:autoSpaceDN/>
        <w:bidi w:val="0"/>
        <w:adjustRightInd/>
        <w:snapToGrid/>
        <w:spacing w:line="560" w:lineRule="exact"/>
        <w:ind w:left="0" w:leftChars="0" w:firstLine="560" w:firstLineChars="200"/>
        <w:rPr>
          <w:rFonts w:hint="eastAsia" w:ascii="黑体" w:hAnsi="黑体" w:eastAsia="黑体" w:cs="黑体"/>
          <w:b w:val="0"/>
          <w:bCs/>
          <w:kern w:val="0"/>
          <w:sz w:val="28"/>
          <w:szCs w:val="28"/>
        </w:rPr>
      </w:pPr>
      <w:r>
        <w:rPr>
          <w:rFonts w:hint="eastAsia" w:ascii="黑体" w:hAnsi="黑体" w:eastAsia="黑体" w:cs="黑体"/>
          <w:b w:val="0"/>
          <w:bCs/>
          <w:kern w:val="0"/>
          <w:sz w:val="28"/>
          <w:szCs w:val="28"/>
        </w:rPr>
        <w:t>要求</w:t>
      </w:r>
      <w:r>
        <w:rPr>
          <w:rFonts w:hint="eastAsia" w:ascii="黑体" w:hAnsi="黑体" w:eastAsia="黑体" w:cs="黑体"/>
          <w:b w:val="0"/>
          <w:bCs/>
          <w:kern w:val="0"/>
          <w:sz w:val="28"/>
          <w:szCs w:val="28"/>
          <w:lang w:val="en-US" w:eastAsia="zh-CN"/>
        </w:rPr>
        <w:t>按产生规律</w:t>
      </w:r>
      <w:r>
        <w:rPr>
          <w:rFonts w:hint="eastAsia" w:ascii="黑体" w:hAnsi="黑体" w:eastAsia="黑体" w:cs="黑体"/>
          <w:b w:val="0"/>
          <w:bCs/>
          <w:kern w:val="0"/>
          <w:sz w:val="28"/>
          <w:szCs w:val="28"/>
        </w:rPr>
        <w:t>或根据现场需求进行转移，数量仅为预估数量</w:t>
      </w:r>
      <w:r>
        <w:rPr>
          <w:rFonts w:hint="eastAsia" w:ascii="黑体" w:hAnsi="黑体" w:eastAsia="黑体" w:cs="黑体"/>
          <w:b w:val="0"/>
          <w:bCs/>
          <w:kern w:val="0"/>
          <w:sz w:val="28"/>
          <w:szCs w:val="28"/>
          <w:lang w:eastAsia="zh-CN"/>
        </w:rPr>
        <w:t>，</w:t>
      </w:r>
      <w:r>
        <w:rPr>
          <w:rFonts w:hint="eastAsia" w:ascii="黑体" w:hAnsi="黑体" w:eastAsia="黑体" w:cs="黑体"/>
          <w:b w:val="0"/>
          <w:bCs/>
          <w:kern w:val="0"/>
          <w:sz w:val="28"/>
          <w:szCs w:val="28"/>
          <w:lang w:val="en-US" w:eastAsia="zh-CN"/>
        </w:rPr>
        <w:t>以实际产生量为准。</w:t>
      </w:r>
    </w:p>
    <w:p w14:paraId="612852CC">
      <w:pPr>
        <w:pageBreakBefore w:val="0"/>
        <w:numPr>
          <w:ilvl w:val="0"/>
          <w:numId w:val="5"/>
        </w:numPr>
        <w:kinsoku/>
        <w:wordWrap/>
        <w:overflowPunct/>
        <w:topLinePunct w:val="0"/>
        <w:autoSpaceDE/>
        <w:autoSpaceDN/>
        <w:bidi w:val="0"/>
        <w:adjustRightInd/>
        <w:snapToGrid/>
        <w:spacing w:line="560" w:lineRule="exact"/>
        <w:ind w:left="0" w:leftChars="0" w:firstLine="560" w:firstLineChars="200"/>
        <w:rPr>
          <w:rFonts w:hint="eastAsia" w:ascii="黑体" w:hAnsi="黑体" w:eastAsia="黑体" w:cs="黑体"/>
          <w:b w:val="0"/>
          <w:bCs/>
          <w:kern w:val="0"/>
          <w:sz w:val="28"/>
          <w:szCs w:val="28"/>
        </w:rPr>
      </w:pPr>
      <w:r>
        <w:rPr>
          <w:rFonts w:hint="eastAsia" w:ascii="黑体" w:hAnsi="黑体" w:eastAsia="黑体" w:cs="黑体"/>
          <w:b w:val="0"/>
          <w:bCs/>
          <w:kern w:val="0"/>
          <w:sz w:val="28"/>
          <w:szCs w:val="28"/>
          <w:lang w:val="en-US" w:eastAsia="zh-CN"/>
        </w:rPr>
        <w:t>在循环宝平台，公开增价模式的</w:t>
      </w:r>
      <w:r>
        <w:rPr>
          <w:rFonts w:hint="eastAsia" w:ascii="黑体" w:hAnsi="黑体" w:eastAsia="黑体" w:cs="黑体"/>
          <w:b w:val="0"/>
          <w:bCs/>
          <w:kern w:val="0"/>
          <w:sz w:val="28"/>
          <w:szCs w:val="28"/>
        </w:rPr>
        <w:t>，为买方付款</w:t>
      </w:r>
      <w:r>
        <w:rPr>
          <w:rFonts w:hint="eastAsia" w:ascii="黑体" w:hAnsi="黑体" w:eastAsia="黑体" w:cs="黑体"/>
          <w:b w:val="0"/>
          <w:bCs/>
          <w:kern w:val="0"/>
          <w:sz w:val="28"/>
          <w:szCs w:val="28"/>
          <w:lang w:eastAsia="zh-CN"/>
        </w:rPr>
        <w:t>，</w:t>
      </w:r>
      <w:r>
        <w:rPr>
          <w:rFonts w:hint="eastAsia" w:ascii="黑体" w:hAnsi="黑体" w:eastAsia="黑体" w:cs="黑体"/>
          <w:b w:val="0"/>
          <w:bCs/>
          <w:kern w:val="0"/>
          <w:sz w:val="28"/>
          <w:szCs w:val="28"/>
          <w:lang w:val="en-US" w:eastAsia="zh-CN"/>
        </w:rPr>
        <w:t>税率为13%</w:t>
      </w:r>
      <w:r>
        <w:rPr>
          <w:rFonts w:hint="eastAsia" w:ascii="黑体" w:hAnsi="黑体" w:eastAsia="黑体" w:cs="黑体"/>
          <w:b w:val="0"/>
          <w:bCs/>
          <w:kern w:val="0"/>
          <w:sz w:val="28"/>
          <w:szCs w:val="28"/>
        </w:rPr>
        <w:t>；</w:t>
      </w:r>
      <w:r>
        <w:rPr>
          <w:rFonts w:hint="eastAsia" w:ascii="黑体" w:hAnsi="黑体" w:eastAsia="黑体" w:cs="黑体"/>
          <w:b w:val="0"/>
          <w:bCs/>
          <w:kern w:val="0"/>
          <w:sz w:val="28"/>
          <w:szCs w:val="28"/>
          <w:lang w:val="en-US" w:eastAsia="zh-CN"/>
        </w:rPr>
        <w:t>反向竞价模式</w:t>
      </w:r>
      <w:r>
        <w:rPr>
          <w:rFonts w:hint="eastAsia" w:ascii="黑体" w:hAnsi="黑体" w:eastAsia="黑体" w:cs="黑体"/>
          <w:b w:val="0"/>
          <w:bCs/>
          <w:kern w:val="0"/>
          <w:sz w:val="28"/>
          <w:szCs w:val="28"/>
        </w:rPr>
        <w:t>的，为卖方付款</w:t>
      </w:r>
      <w:r>
        <w:rPr>
          <w:rFonts w:hint="eastAsia" w:ascii="黑体" w:hAnsi="黑体" w:eastAsia="黑体" w:cs="黑体"/>
          <w:b w:val="0"/>
          <w:bCs/>
          <w:kern w:val="0"/>
          <w:sz w:val="28"/>
          <w:szCs w:val="28"/>
          <w:lang w:eastAsia="zh-CN"/>
        </w:rPr>
        <w:t>，</w:t>
      </w:r>
      <w:r>
        <w:rPr>
          <w:rFonts w:hint="eastAsia" w:ascii="黑体" w:hAnsi="黑体" w:eastAsia="黑体" w:cs="黑体"/>
          <w:b w:val="0"/>
          <w:bCs/>
          <w:kern w:val="0"/>
          <w:sz w:val="28"/>
          <w:szCs w:val="28"/>
          <w:lang w:val="en-US" w:eastAsia="zh-CN"/>
        </w:rPr>
        <w:t>税率为6%</w:t>
      </w:r>
      <w:r>
        <w:rPr>
          <w:rFonts w:hint="eastAsia" w:ascii="黑体" w:hAnsi="黑体" w:eastAsia="黑体" w:cs="黑体"/>
          <w:b w:val="0"/>
          <w:bCs/>
          <w:kern w:val="0"/>
          <w:sz w:val="28"/>
          <w:szCs w:val="28"/>
        </w:rPr>
        <w:t>。</w:t>
      </w:r>
    </w:p>
    <w:p w14:paraId="6C427EBD">
      <w:pPr>
        <w:pStyle w:val="2"/>
        <w:pageBreakBefore w:val="0"/>
        <w:kinsoku/>
        <w:wordWrap/>
        <w:overflowPunct/>
        <w:topLinePunct w:val="0"/>
        <w:autoSpaceDE/>
        <w:autoSpaceDN/>
        <w:bidi w:val="0"/>
        <w:adjustRightInd/>
        <w:snapToGrid/>
        <w:spacing w:line="560" w:lineRule="exact"/>
      </w:pPr>
      <w:r>
        <w:rPr>
          <w:rFonts w:hint="eastAsia"/>
        </w:rPr>
        <w:t>销售方式</w:t>
      </w:r>
    </w:p>
    <w:p w14:paraId="3DAC5A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rPr>
        <w:t>本批资源明细发布到欧冶</w:t>
      </w:r>
      <w:r>
        <w:rPr>
          <w:rFonts w:hint="eastAsia" w:ascii="仿宋_GB2312" w:hAnsi="宋体" w:eastAsia="仿宋_GB2312" w:cs="仿宋_GB2312"/>
          <w:kern w:val="0"/>
          <w:sz w:val="32"/>
          <w:szCs w:val="32"/>
          <w:lang w:val="en-US" w:eastAsia="zh-CN"/>
        </w:rPr>
        <w:t>循环宝</w:t>
      </w:r>
      <w:r>
        <w:rPr>
          <w:rFonts w:hint="eastAsia" w:ascii="仿宋_GB2312" w:hAnsi="宋体" w:eastAsia="仿宋_GB2312" w:cs="仿宋_GB2312"/>
          <w:kern w:val="0"/>
          <w:sz w:val="32"/>
          <w:szCs w:val="32"/>
        </w:rPr>
        <w:t>平台（</w:t>
      </w:r>
      <w:r>
        <w:rPr>
          <w:rFonts w:hint="eastAsia" w:ascii="仿宋_GB2312" w:hAnsi="宋体" w:eastAsia="仿宋_GB2312" w:cs="仿宋_GB2312"/>
          <w:kern w:val="0"/>
          <w:sz w:val="32"/>
          <w:szCs w:val="32"/>
          <w:lang w:val="en-US" w:eastAsia="zh-CN"/>
        </w:rPr>
        <w:t>网址：</w:t>
      </w:r>
      <w:r>
        <w:rPr>
          <w:rFonts w:hint="eastAsia" w:ascii="仿宋_GB2312" w:hAnsi="宋体" w:eastAsia="仿宋_GB2312" w:cs="仿宋_GB2312"/>
          <w:kern w:val="0"/>
          <w:sz w:val="32"/>
          <w:szCs w:val="32"/>
        </w:rPr>
        <w:t>https://www.ouyeel.com/search-ng/exchange/home</w:t>
      </w:r>
      <w:r>
        <w:rPr>
          <w:rFonts w:hint="eastAsia" w:ascii="仿宋_GB2312" w:hAnsi="宋体" w:eastAsia="仿宋_GB2312" w:cs="仿宋_GB2312"/>
          <w:color w:val="auto"/>
          <w:kern w:val="0"/>
          <w:sz w:val="32"/>
          <w:szCs w:val="32"/>
        </w:rPr>
        <w:t>）进行公告</w:t>
      </w:r>
      <w:r>
        <w:rPr>
          <w:rFonts w:hint="eastAsia" w:ascii="仿宋_GB2312" w:hAnsi="宋体" w:eastAsia="仿宋_GB2312" w:cs="仿宋_GB2312"/>
          <w:color w:val="auto"/>
          <w:kern w:val="0"/>
          <w:sz w:val="32"/>
          <w:szCs w:val="32"/>
          <w:lang w:val="en-US" w:eastAsia="zh-CN"/>
        </w:rPr>
        <w:t>。竞价</w:t>
      </w:r>
      <w:r>
        <w:rPr>
          <w:rFonts w:hint="eastAsia" w:ascii="仿宋_GB2312" w:hAnsi="宋体" w:eastAsia="仿宋_GB2312" w:cs="仿宋_GB2312"/>
          <w:kern w:val="0"/>
          <w:sz w:val="32"/>
          <w:szCs w:val="32"/>
        </w:rPr>
        <w:t>成功者与销售主体签订线下合同</w:t>
      </w:r>
      <w:r>
        <w:rPr>
          <w:rFonts w:hint="eastAsia" w:ascii="仿宋_GB2312" w:hAnsi="宋体" w:eastAsia="仿宋_GB2312" w:cs="仿宋_GB2312"/>
          <w:kern w:val="0"/>
          <w:sz w:val="32"/>
          <w:szCs w:val="32"/>
          <w:lang w:eastAsia="zh-CN"/>
        </w:rPr>
        <w:t>。</w:t>
      </w:r>
    </w:p>
    <w:p w14:paraId="1B4ACBB4">
      <w:pPr>
        <w:pStyle w:val="2"/>
        <w:pageBreakBefore w:val="0"/>
        <w:kinsoku/>
        <w:wordWrap/>
        <w:overflowPunct/>
        <w:topLinePunct w:val="0"/>
        <w:autoSpaceDE/>
        <w:autoSpaceDN/>
        <w:bidi w:val="0"/>
        <w:adjustRightInd/>
        <w:snapToGrid/>
        <w:spacing w:line="560" w:lineRule="exact"/>
        <w:rPr>
          <w:rFonts w:ascii="黑体" w:hAnsi="黑体" w:eastAsia="黑体" w:cs="黑体"/>
          <w:b w:val="0"/>
          <w:bCs w:val="0"/>
          <w:kern w:val="0"/>
          <w:sz w:val="32"/>
          <w:szCs w:val="32"/>
        </w:rPr>
      </w:pPr>
      <w:r>
        <w:rPr>
          <w:rFonts w:hint="eastAsia" w:ascii="黑体" w:hAnsi="黑体" w:eastAsia="黑体" w:cs="黑体"/>
          <w:b w:val="0"/>
          <w:bCs w:val="0"/>
          <w:sz w:val="32"/>
          <w:szCs w:val="32"/>
        </w:rPr>
        <w:t>销售</w:t>
      </w:r>
      <w:r>
        <w:rPr>
          <w:rFonts w:hint="eastAsia" w:ascii="黑体" w:hAnsi="黑体" w:eastAsia="黑体" w:cs="黑体"/>
          <w:b w:val="0"/>
          <w:bCs w:val="0"/>
          <w:kern w:val="0"/>
          <w:sz w:val="32"/>
          <w:szCs w:val="32"/>
        </w:rPr>
        <w:t>价格</w:t>
      </w:r>
    </w:p>
    <w:p w14:paraId="02E5E07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本次销售为设底价</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，底价公开。底价由</w:t>
      </w:r>
      <w:r>
        <w:rPr>
          <w:rFonts w:hint="eastAsia" w:ascii="仿宋_GB2312" w:hAnsi="宋体" w:eastAsia="仿宋_GB2312" w:cs="仿宋_GB2312"/>
          <w:kern w:val="0"/>
          <w:sz w:val="32"/>
          <w:szCs w:val="32"/>
          <w:lang w:val="en-US" w:eastAsia="zh-CN"/>
        </w:rPr>
        <w:t>山钢集团日照</w:t>
      </w:r>
      <w:r>
        <w:rPr>
          <w:rFonts w:hint="eastAsia" w:ascii="仿宋_GB2312" w:hAnsi="宋体" w:eastAsia="仿宋_GB2312" w:cs="仿宋_GB2312"/>
          <w:kern w:val="0"/>
          <w:sz w:val="32"/>
          <w:szCs w:val="32"/>
        </w:rPr>
        <w:t>有限公司制定，在开始时间前公布。</w:t>
      </w:r>
      <w:r>
        <w:rPr>
          <w:rFonts w:hint="eastAsia" w:ascii="仿宋_GB2312" w:hAnsi="宋体" w:eastAsia="仿宋_GB2312" w:cs="仿宋_GB2312"/>
          <w:kern w:val="0"/>
          <w:sz w:val="32"/>
          <w:szCs w:val="32"/>
          <w:lang w:val="en-US" w:eastAsia="zh-CN"/>
        </w:rPr>
        <w:t>按照循环宝平台规则确定中标者。</w:t>
      </w:r>
    </w:p>
    <w:p w14:paraId="7C770E43">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rPr>
        <w:t>竞价</w:t>
      </w:r>
      <w:r>
        <w:rPr>
          <w:rFonts w:hint="eastAsia" w:ascii="仿宋_GB2312" w:hAnsi="宋体" w:eastAsia="仿宋_GB2312" w:cs="仿宋_GB2312"/>
          <w:kern w:val="0"/>
          <w:sz w:val="32"/>
          <w:szCs w:val="32"/>
        </w:rPr>
        <w:t>价格每次</w:t>
      </w:r>
      <w:r>
        <w:rPr>
          <w:rFonts w:hint="eastAsia" w:ascii="仿宋_GB2312" w:hAnsi="宋体" w:eastAsia="仿宋_GB2312" w:cs="仿宋_GB2312"/>
          <w:kern w:val="0"/>
          <w:sz w:val="32"/>
          <w:szCs w:val="32"/>
          <w:lang w:val="en-US" w:eastAsia="zh-CN"/>
        </w:rPr>
        <w:t>做</w:t>
      </w:r>
      <w:r>
        <w:rPr>
          <w:rFonts w:hint="eastAsia" w:ascii="仿宋_GB2312" w:hAnsi="宋体" w:eastAsia="仿宋_GB2312" w:cs="仿宋_GB2312"/>
          <w:kern w:val="0"/>
          <w:sz w:val="32"/>
          <w:szCs w:val="32"/>
        </w:rPr>
        <w:t>加价</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lang w:val="en-US" w:eastAsia="zh-CN"/>
        </w:rPr>
        <w:t>或减价</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lang w:val="en-US" w:eastAsia="zh-CN"/>
        </w:rPr>
        <w:t>调整</w:t>
      </w:r>
      <w:r>
        <w:rPr>
          <w:rFonts w:hint="eastAsia" w:ascii="仿宋_GB2312" w:hAnsi="宋体" w:eastAsia="仿宋_GB2312" w:cs="仿宋_GB2312"/>
          <w:kern w:val="0"/>
          <w:sz w:val="32"/>
          <w:szCs w:val="32"/>
        </w:rPr>
        <w:t>幅度要求</w:t>
      </w:r>
      <w:r>
        <w:rPr>
          <w:rFonts w:hint="eastAsia" w:ascii="仿宋_GB2312" w:hAnsi="宋体" w:eastAsia="仿宋_GB2312" w:cs="仿宋_GB2312"/>
          <w:kern w:val="0"/>
          <w:sz w:val="32"/>
          <w:szCs w:val="32"/>
          <w:highlight w:val="none"/>
        </w:rPr>
        <w:t>为</w:t>
      </w:r>
      <w:r>
        <w:rPr>
          <w:rFonts w:hint="eastAsia" w:ascii="仿宋_GB2312" w:hAnsi="宋体" w:eastAsia="仿宋_GB2312" w:cs="仿宋_GB2312"/>
          <w:kern w:val="0"/>
          <w:sz w:val="32"/>
          <w:szCs w:val="32"/>
          <w:highlight w:val="none"/>
          <w:em w:val="dot"/>
          <w:lang w:val="en-US" w:eastAsia="zh-CN"/>
        </w:rPr>
        <w:t>1</w:t>
      </w:r>
      <w:r>
        <w:rPr>
          <w:rFonts w:hint="eastAsia" w:ascii="仿宋_GB2312" w:hAnsi="宋体" w:eastAsia="仿宋_GB2312" w:cs="仿宋_GB2312"/>
          <w:kern w:val="0"/>
          <w:sz w:val="32"/>
          <w:szCs w:val="32"/>
          <w:highlight w:val="none"/>
          <w:em w:val="dot"/>
        </w:rPr>
        <w:t>元</w:t>
      </w:r>
      <w:r>
        <w:rPr>
          <w:rFonts w:ascii="仿宋_GB2312" w:hAnsi="宋体" w:eastAsia="仿宋_GB2312" w:cs="仿宋_GB2312"/>
          <w:kern w:val="0"/>
          <w:sz w:val="32"/>
          <w:szCs w:val="32"/>
          <w:highlight w:val="none"/>
          <w:em w:val="dot"/>
        </w:rPr>
        <w:t>/</w:t>
      </w:r>
      <w:r>
        <w:rPr>
          <w:rFonts w:hint="eastAsia" w:ascii="仿宋_GB2312" w:hAnsi="宋体" w:eastAsia="仿宋_GB2312" w:cs="仿宋_GB2312"/>
          <w:kern w:val="0"/>
          <w:sz w:val="32"/>
          <w:szCs w:val="32"/>
          <w:highlight w:val="none"/>
          <w:em w:val="dot"/>
        </w:rPr>
        <w:t>吨</w:t>
      </w:r>
      <w:r>
        <w:rPr>
          <w:rFonts w:hint="eastAsia" w:ascii="仿宋_GB2312" w:hAnsi="宋体" w:eastAsia="仿宋_GB2312" w:cs="仿宋_GB2312"/>
          <w:kern w:val="0"/>
          <w:sz w:val="32"/>
          <w:szCs w:val="32"/>
          <w:highlight w:val="none"/>
        </w:rPr>
        <w:t>的</w:t>
      </w:r>
      <w:r>
        <w:rPr>
          <w:rFonts w:hint="eastAsia" w:ascii="仿宋_GB2312" w:hAnsi="宋体" w:eastAsia="仿宋_GB2312" w:cs="仿宋_GB2312"/>
          <w:kern w:val="0"/>
          <w:sz w:val="32"/>
          <w:szCs w:val="32"/>
        </w:rPr>
        <w:t>整数倍。</w:t>
      </w:r>
    </w:p>
    <w:p w14:paraId="3DE6908F">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价格为含税现汇付款价格。</w:t>
      </w:r>
    </w:p>
    <w:p w14:paraId="2C923C43">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color w:val="auto"/>
          <w:kern w:val="0"/>
          <w:sz w:val="32"/>
          <w:szCs w:val="32"/>
        </w:rPr>
      </w:pPr>
      <w:r>
        <w:rPr>
          <w:rFonts w:hint="eastAsia" w:ascii="仿宋_GB2312" w:hAnsi="宋体" w:eastAsia="仿宋_GB2312" w:cs="仿宋_GB2312"/>
          <w:color w:val="auto"/>
          <w:kern w:val="0"/>
          <w:sz w:val="32"/>
          <w:szCs w:val="32"/>
          <w:lang w:eastAsia="zh-CN"/>
        </w:rPr>
        <w:t>竞价</w:t>
      </w:r>
      <w:r>
        <w:rPr>
          <w:rFonts w:hint="eastAsia" w:ascii="仿宋_GB2312" w:hAnsi="宋体" w:eastAsia="仿宋_GB2312" w:cs="仿宋_GB2312"/>
          <w:color w:val="auto"/>
          <w:kern w:val="0"/>
          <w:sz w:val="32"/>
          <w:szCs w:val="32"/>
        </w:rPr>
        <w:t>成功者厂内自提，自提车辆为</w:t>
      </w:r>
      <w:r>
        <w:rPr>
          <w:rFonts w:hint="eastAsia" w:ascii="仿宋_GB2312" w:hAnsi="宋体" w:eastAsia="仿宋_GB2312" w:cs="仿宋_GB2312"/>
          <w:color w:val="auto"/>
          <w:kern w:val="0"/>
          <w:sz w:val="32"/>
          <w:szCs w:val="32"/>
          <w:lang w:val="en-US" w:eastAsia="zh-CN"/>
        </w:rPr>
        <w:t>不低于国五标准货车或</w:t>
      </w:r>
      <w:r>
        <w:rPr>
          <w:rFonts w:hint="eastAsia" w:ascii="仿宋_GB2312" w:hAnsi="宋体" w:eastAsia="仿宋_GB2312" w:cs="仿宋_GB2312"/>
          <w:color w:val="auto"/>
          <w:kern w:val="0"/>
          <w:sz w:val="32"/>
          <w:szCs w:val="32"/>
        </w:rPr>
        <w:t>电动</w:t>
      </w:r>
      <w:r>
        <w:rPr>
          <w:rFonts w:hint="eastAsia" w:ascii="仿宋_GB2312" w:hAnsi="宋体" w:eastAsia="仿宋_GB2312" w:cs="仿宋_GB2312"/>
          <w:color w:val="auto"/>
          <w:kern w:val="0"/>
          <w:sz w:val="32"/>
          <w:szCs w:val="32"/>
          <w:lang w:val="en-US" w:eastAsia="zh-CN"/>
        </w:rPr>
        <w:t>等新能源</w:t>
      </w:r>
      <w:r>
        <w:rPr>
          <w:rFonts w:hint="eastAsia" w:ascii="仿宋_GB2312" w:hAnsi="宋体" w:eastAsia="仿宋_GB2312" w:cs="仿宋_GB2312"/>
          <w:color w:val="auto"/>
          <w:kern w:val="0"/>
          <w:sz w:val="32"/>
          <w:szCs w:val="32"/>
        </w:rPr>
        <w:t>车辆，</w:t>
      </w:r>
      <w:r>
        <w:rPr>
          <w:rFonts w:hint="eastAsia" w:ascii="仿宋_GB2312" w:hAnsi="宋体" w:eastAsia="仿宋_GB2312" w:cs="仿宋_GB2312"/>
          <w:color w:val="auto"/>
          <w:kern w:val="0"/>
          <w:sz w:val="32"/>
          <w:szCs w:val="32"/>
          <w:lang w:val="en-US" w:eastAsia="zh-CN"/>
        </w:rPr>
        <w:t>具体</w:t>
      </w:r>
      <w:r>
        <w:rPr>
          <w:rFonts w:hint="eastAsia" w:ascii="仿宋_GB2312" w:hAnsi="宋体" w:eastAsia="仿宋_GB2312" w:cs="仿宋_GB2312"/>
          <w:color w:val="auto"/>
          <w:kern w:val="0"/>
          <w:sz w:val="32"/>
          <w:szCs w:val="32"/>
        </w:rPr>
        <w:t>按照山东钢铁集团日照有限公司规定执行。</w:t>
      </w:r>
    </w:p>
    <w:p w14:paraId="7487D9DF">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color w:val="auto"/>
          <w:kern w:val="0"/>
          <w:sz w:val="32"/>
          <w:szCs w:val="32"/>
        </w:rPr>
      </w:pPr>
      <w:r>
        <w:rPr>
          <w:rFonts w:hint="eastAsia" w:ascii="仿宋_GB2312" w:hAnsi="宋体" w:eastAsia="仿宋_GB2312" w:cs="仿宋_GB2312"/>
          <w:color w:val="auto"/>
          <w:kern w:val="0"/>
          <w:sz w:val="32"/>
          <w:szCs w:val="32"/>
        </w:rPr>
        <w:t>销售主体与</w:t>
      </w:r>
      <w:r>
        <w:rPr>
          <w:rFonts w:hint="eastAsia" w:ascii="仿宋_GB2312" w:hAnsi="宋体" w:eastAsia="仿宋_GB2312" w:cs="仿宋_GB2312"/>
          <w:color w:val="auto"/>
          <w:kern w:val="0"/>
          <w:sz w:val="32"/>
          <w:szCs w:val="32"/>
          <w:lang w:eastAsia="zh-CN"/>
        </w:rPr>
        <w:t>竞价</w:t>
      </w:r>
      <w:r>
        <w:rPr>
          <w:rFonts w:hint="eastAsia" w:ascii="仿宋_GB2312" w:hAnsi="宋体" w:eastAsia="仿宋_GB2312" w:cs="仿宋_GB2312"/>
          <w:color w:val="auto"/>
          <w:kern w:val="0"/>
          <w:sz w:val="32"/>
          <w:szCs w:val="32"/>
        </w:rPr>
        <w:t>成功者办理结算，结算价格为</w:t>
      </w:r>
      <w:r>
        <w:rPr>
          <w:rFonts w:hint="eastAsia" w:ascii="仿宋_GB2312" w:hAnsi="宋体" w:eastAsia="仿宋_GB2312" w:cs="仿宋_GB2312"/>
          <w:color w:val="auto"/>
          <w:kern w:val="0"/>
          <w:sz w:val="32"/>
          <w:szCs w:val="32"/>
          <w:lang w:eastAsia="zh-CN"/>
        </w:rPr>
        <w:t>竞价</w:t>
      </w:r>
      <w:r>
        <w:rPr>
          <w:rFonts w:hint="eastAsia" w:ascii="仿宋_GB2312" w:hAnsi="宋体" w:eastAsia="仿宋_GB2312" w:cs="仿宋_GB2312"/>
          <w:color w:val="auto"/>
          <w:kern w:val="0"/>
          <w:sz w:val="32"/>
          <w:szCs w:val="32"/>
        </w:rPr>
        <w:t>成功价格。</w:t>
      </w:r>
    </w:p>
    <w:p w14:paraId="732B4703">
      <w:pPr>
        <w:pStyle w:val="2"/>
        <w:pageBreakBefore w:val="0"/>
        <w:kinsoku/>
        <w:wordWrap/>
        <w:overflowPunct/>
        <w:topLinePunct w:val="0"/>
        <w:autoSpaceDE/>
        <w:autoSpaceDN/>
        <w:bidi w:val="0"/>
        <w:adjustRightInd/>
        <w:snapToGrid/>
        <w:spacing w:line="560" w:lineRule="exact"/>
        <w:rPr>
          <w:rFonts w:hint="eastAsia"/>
        </w:rPr>
      </w:pPr>
      <w:r>
        <w:rPr>
          <w:rFonts w:hint="eastAsia"/>
        </w:rPr>
        <w:t>资质要求</w:t>
      </w:r>
    </w:p>
    <w:p w14:paraId="7BA3AFF0">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竞买方须为在国内注册的中国公司，具备一般纳税人资格。</w:t>
      </w:r>
    </w:p>
    <w:p w14:paraId="2CB58856">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具有</w:t>
      </w:r>
      <w:r>
        <w:rPr>
          <w:rFonts w:hint="eastAsia" w:ascii="仿宋_GB2312" w:hAnsi="宋体" w:eastAsia="仿宋_GB2312" w:cs="仿宋_GB2312"/>
          <w:kern w:val="0"/>
          <w:sz w:val="32"/>
          <w:szCs w:val="32"/>
          <w:em w:val="dot"/>
          <w:lang w:val="en-US" w:eastAsia="zh-CN" w:bidi="ar-SA"/>
        </w:rPr>
        <w:t>山东省内上述表中各包对应危废代码</w:t>
      </w:r>
      <w:r>
        <w:rPr>
          <w:rFonts w:hint="eastAsia" w:ascii="仿宋_GB2312" w:hAnsi="宋体" w:eastAsia="仿宋_GB2312" w:cs="仿宋_GB2312"/>
          <w:kern w:val="0"/>
          <w:sz w:val="32"/>
          <w:szCs w:val="32"/>
          <w:lang w:val="en-US" w:eastAsia="zh-CN" w:bidi="ar-SA"/>
        </w:rPr>
        <w:t>的危险废物处置或利用资质。</w:t>
      </w:r>
    </w:p>
    <w:p w14:paraId="155B3255">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同时满足以上要求的客户，按照系统要求及网上投标注册流程，在《山钢集团招标采购与拍卖管理信息平台》完成注册、上传公告要求文件、报名、报价的一系列工作，逐步成功后方可参与（方法见</w:t>
      </w:r>
      <w:r>
        <w:rPr>
          <w:rFonts w:hint="eastAsia" w:ascii="仿宋_GB2312" w:hAnsi="宋体" w:eastAsia="仿宋_GB2312" w:cs="仿宋_GB2312"/>
          <w:kern w:val="0"/>
          <w:sz w:val="32"/>
          <w:szCs w:val="32"/>
          <w:lang w:val="en-US" w:eastAsia="zh-CN" w:bidi="ar-SA"/>
        </w:rPr>
        <w:fldChar w:fldCharType="begin"/>
      </w:r>
      <w:r>
        <w:rPr>
          <w:rFonts w:hint="eastAsia" w:ascii="仿宋_GB2312" w:hAnsi="宋体" w:eastAsia="仿宋_GB2312" w:cs="仿宋_GB2312"/>
          <w:kern w:val="0"/>
          <w:sz w:val="32"/>
          <w:szCs w:val="32"/>
          <w:lang w:val="en-US" w:eastAsia="zh-CN" w:bidi="ar-SA"/>
        </w:rPr>
        <w:instrText xml:space="preserve"> REF _Ref149 \r \h </w:instrText>
      </w:r>
      <w:r>
        <w:rPr>
          <w:rFonts w:hint="eastAsia" w:ascii="仿宋_GB2312" w:hAnsi="宋体" w:eastAsia="仿宋_GB2312" w:cs="仿宋_GB2312"/>
          <w:kern w:val="0"/>
          <w:sz w:val="32"/>
          <w:szCs w:val="32"/>
          <w:lang w:val="en-US" w:eastAsia="zh-CN" w:bidi="ar-SA"/>
        </w:rPr>
        <w:fldChar w:fldCharType="separate"/>
      </w:r>
      <w:r>
        <w:rPr>
          <w:rFonts w:hint="eastAsia" w:ascii="仿宋_GB2312" w:hAnsi="宋体" w:eastAsia="仿宋_GB2312" w:cs="仿宋_GB2312"/>
          <w:kern w:val="0"/>
          <w:sz w:val="32"/>
          <w:szCs w:val="32"/>
          <w:lang w:val="en-US" w:eastAsia="zh-CN" w:bidi="ar-SA"/>
        </w:rPr>
        <w:t>附件4</w:t>
      </w:r>
      <w:r>
        <w:rPr>
          <w:rFonts w:hint="eastAsia" w:ascii="仿宋_GB2312" w:hAnsi="宋体" w:eastAsia="仿宋_GB2312" w:cs="仿宋_GB2312"/>
          <w:kern w:val="0"/>
          <w:sz w:val="32"/>
          <w:szCs w:val="32"/>
          <w:lang w:val="en-US" w:eastAsia="zh-CN" w:bidi="ar-SA"/>
        </w:rPr>
        <w:fldChar w:fldCharType="end"/>
      </w:r>
      <w:r>
        <w:rPr>
          <w:rFonts w:hint="eastAsia" w:ascii="仿宋_GB2312" w:hAnsi="宋体" w:eastAsia="仿宋_GB2312" w:cs="仿宋_GB2312"/>
          <w:kern w:val="0"/>
          <w:sz w:val="32"/>
          <w:szCs w:val="32"/>
          <w:lang w:val="en-US" w:eastAsia="zh-CN" w:bidi="ar-SA"/>
        </w:rPr>
        <w:t>）；注册的法人或授权委托人联系方式须确保畅通。</w:t>
      </w:r>
    </w:p>
    <w:p w14:paraId="3D773CAC">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公告要求文件：营业执照（合并税务登记证）、危废许可证、授权委托书等材料。上传文件需加盖公司行政章。</w:t>
      </w:r>
    </w:p>
    <w:p w14:paraId="0DFEC43C">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资质不符，请勿参与，在循环宝平台上的报价视为无效报价。</w:t>
      </w:r>
    </w:p>
    <w:p w14:paraId="13151520">
      <w:pPr>
        <w:pStyle w:val="2"/>
        <w:pageBreakBefore w:val="0"/>
        <w:kinsoku/>
        <w:wordWrap/>
        <w:overflowPunct/>
        <w:topLinePunct w:val="0"/>
        <w:autoSpaceDE/>
        <w:autoSpaceDN/>
        <w:bidi w:val="0"/>
        <w:adjustRightInd/>
        <w:snapToGrid/>
        <w:spacing w:line="560" w:lineRule="exact"/>
        <w:rPr>
          <w:rFonts w:hint="eastAsia"/>
        </w:rPr>
      </w:pPr>
      <w:r>
        <w:rPr>
          <w:rFonts w:hint="eastAsia"/>
        </w:rPr>
        <w:t>参加</w:t>
      </w:r>
      <w:r>
        <w:rPr>
          <w:rFonts w:hint="eastAsia"/>
          <w:lang w:eastAsia="zh-CN"/>
        </w:rPr>
        <w:t>竞价</w:t>
      </w:r>
      <w:r>
        <w:rPr>
          <w:rFonts w:hint="eastAsia"/>
        </w:rPr>
        <w:t>的资格评审及相关要求</w:t>
      </w:r>
    </w:p>
    <w:p w14:paraId="73BEE5D0">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现场踏勘参与条件：自行准备、穿戴齐全劳保护品（安全帽、长袖工作服、绝缘鞋、口罩等）；提前电话报名预约；准时在日照公司北1门内侧丁字路口（可导航至此）集合（见</w:t>
      </w:r>
      <w:r>
        <w:rPr>
          <w:rFonts w:hint="eastAsia" w:ascii="仿宋_GB2312" w:hAnsi="宋体" w:eastAsia="仿宋_GB2312" w:cs="仿宋_GB2312"/>
          <w:kern w:val="0"/>
          <w:sz w:val="32"/>
          <w:szCs w:val="32"/>
          <w:lang w:val="en-US" w:eastAsia="zh-CN" w:bidi="ar-SA"/>
        </w:rPr>
        <w:fldChar w:fldCharType="begin"/>
      </w:r>
      <w:r>
        <w:rPr>
          <w:rFonts w:hint="eastAsia" w:ascii="仿宋_GB2312" w:hAnsi="宋体" w:eastAsia="仿宋_GB2312" w:cs="仿宋_GB2312"/>
          <w:kern w:val="0"/>
          <w:sz w:val="32"/>
          <w:szCs w:val="32"/>
          <w:lang w:val="en-US" w:eastAsia="zh-CN" w:bidi="ar-SA"/>
        </w:rPr>
        <w:instrText xml:space="preserve"> REF _Ref32430 \h </w:instrText>
      </w:r>
      <w:r>
        <w:rPr>
          <w:rFonts w:hint="eastAsia" w:ascii="仿宋_GB2312" w:hAnsi="宋体" w:eastAsia="仿宋_GB2312" w:cs="仿宋_GB2312"/>
          <w:kern w:val="0"/>
          <w:sz w:val="32"/>
          <w:szCs w:val="32"/>
          <w:lang w:val="en-US" w:eastAsia="zh-CN" w:bidi="ar-SA"/>
        </w:rPr>
        <w:fldChar w:fldCharType="separate"/>
      </w:r>
      <w:r>
        <w:rPr>
          <w:rFonts w:hint="eastAsia" w:ascii="仿宋_GB2312" w:hAnsi="宋体" w:eastAsia="仿宋_GB2312" w:cs="仿宋_GB2312"/>
          <w:kern w:val="0"/>
          <w:sz w:val="32"/>
          <w:szCs w:val="32"/>
          <w:lang w:val="en-US" w:eastAsia="zh-CN" w:bidi="ar-SA"/>
        </w:rPr>
        <w:t>图 2集中汇合点</w:t>
      </w:r>
      <w:r>
        <w:rPr>
          <w:rFonts w:hint="eastAsia" w:ascii="仿宋_GB2312" w:hAnsi="宋体" w:eastAsia="仿宋_GB2312" w:cs="仿宋_GB2312"/>
          <w:kern w:val="0"/>
          <w:sz w:val="32"/>
          <w:szCs w:val="32"/>
          <w:lang w:val="en-US" w:eastAsia="zh-CN" w:bidi="ar-SA"/>
        </w:rPr>
        <w:fldChar w:fldCharType="end"/>
      </w:r>
      <w:r>
        <w:rPr>
          <w:rFonts w:hint="eastAsia" w:ascii="仿宋_GB2312" w:hAnsi="宋体" w:eastAsia="仿宋_GB2312" w:cs="仿宋_GB2312"/>
          <w:kern w:val="0"/>
          <w:sz w:val="32"/>
          <w:szCs w:val="32"/>
          <w:lang w:val="en-US" w:eastAsia="zh-CN" w:bidi="ar-SA"/>
        </w:rPr>
        <w:t>）；不按照要求参加踏勘的，视同放弃参加现场看货的权利；未按要求参加现场踏勘且参与报价的，视为对本次产品的属性认同。</w:t>
      </w:r>
    </w:p>
    <w:p w14:paraId="047E02C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本次竞价需要在竞价开始前按照循环宝平台显示实际保证金（含服务费）进行缴纳。</w:t>
      </w:r>
    </w:p>
    <w:p w14:paraId="09443CA4">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rPr>
        <w:t>山钢集团日照有限公司</w:t>
      </w:r>
      <w:r>
        <w:rPr>
          <w:rFonts w:hint="eastAsia" w:ascii="仿宋_GB2312" w:hAnsi="宋体" w:eastAsia="仿宋_GB2312" w:cs="仿宋_GB2312"/>
          <w:kern w:val="0"/>
          <w:sz w:val="32"/>
          <w:szCs w:val="32"/>
        </w:rPr>
        <w:t>与</w:t>
      </w:r>
      <w:r>
        <w:rPr>
          <w:rFonts w:hint="eastAsia" w:ascii="仿宋_GB2312" w:hAnsi="宋体" w:eastAsia="仿宋_GB2312" w:cs="仿宋_GB2312"/>
          <w:kern w:val="0"/>
          <w:sz w:val="32"/>
          <w:szCs w:val="32"/>
          <w:lang w:val="en-US" w:eastAsia="zh-CN"/>
        </w:rPr>
        <w:t>循环宝</w:t>
      </w:r>
      <w:r>
        <w:rPr>
          <w:rFonts w:hint="eastAsia" w:ascii="仿宋_GB2312" w:hAnsi="宋体" w:eastAsia="仿宋_GB2312" w:cs="仿宋_GB2312"/>
          <w:kern w:val="0"/>
          <w:sz w:val="32"/>
          <w:szCs w:val="32"/>
        </w:rPr>
        <w:t>将对缴纳</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保证金的</w:t>
      </w:r>
      <w:r>
        <w:rPr>
          <w:rFonts w:hint="eastAsia" w:ascii="仿宋_GB2312" w:hAnsi="宋体" w:eastAsia="仿宋_GB2312" w:cs="仿宋_GB2312"/>
          <w:kern w:val="0"/>
          <w:sz w:val="32"/>
          <w:szCs w:val="32"/>
          <w:lang w:val="en-US" w:eastAsia="zh-CN"/>
        </w:rPr>
        <w:t>竞价参与者</w:t>
      </w:r>
      <w:r>
        <w:rPr>
          <w:rFonts w:ascii="仿宋_GB2312" w:hAnsi="宋体" w:eastAsia="仿宋_GB2312" w:cs="仿宋_GB2312"/>
          <w:kern w:val="0"/>
          <w:sz w:val="32"/>
          <w:szCs w:val="32"/>
        </w:rPr>
        <w:t>进行资格</w:t>
      </w:r>
      <w:r>
        <w:rPr>
          <w:rFonts w:hint="eastAsia" w:ascii="仿宋_GB2312" w:hAnsi="宋体" w:eastAsia="仿宋_GB2312" w:cs="仿宋_GB2312"/>
          <w:kern w:val="0"/>
          <w:sz w:val="32"/>
          <w:szCs w:val="32"/>
        </w:rPr>
        <w:t>审查</w:t>
      </w:r>
      <w:r>
        <w:rPr>
          <w:rFonts w:ascii="仿宋_GB2312" w:hAnsi="宋体" w:eastAsia="仿宋_GB2312" w:cs="仿宋_GB2312"/>
          <w:kern w:val="0"/>
          <w:sz w:val="32"/>
          <w:szCs w:val="32"/>
        </w:rPr>
        <w:t>。</w:t>
      </w:r>
    </w:p>
    <w:p w14:paraId="5AB1B39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自</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结束2</w:t>
      </w:r>
      <w:r>
        <w:rPr>
          <w:rFonts w:hint="eastAsia" w:ascii="仿宋_GB2312" w:hAnsi="宋体" w:eastAsia="仿宋_GB2312" w:cs="仿宋_GB2312"/>
          <w:kern w:val="0"/>
          <w:sz w:val="32"/>
          <w:szCs w:val="32"/>
          <w:lang w:val="en-US" w:eastAsia="zh-CN"/>
        </w:rPr>
        <w:t>个工作日</w:t>
      </w:r>
      <w:r>
        <w:rPr>
          <w:rFonts w:hint="eastAsia" w:ascii="仿宋_GB2312" w:hAnsi="宋体" w:eastAsia="仿宋_GB2312" w:cs="仿宋_GB2312"/>
          <w:kern w:val="0"/>
          <w:sz w:val="32"/>
          <w:szCs w:val="32"/>
        </w:rPr>
        <w:t>内与销售主体签订合同，并于签订合同之日起3</w:t>
      </w:r>
      <w:r>
        <w:rPr>
          <w:rFonts w:hint="eastAsia" w:ascii="仿宋_GB2312" w:hAnsi="宋体" w:eastAsia="仿宋_GB2312" w:cs="仿宋_GB2312"/>
          <w:kern w:val="0"/>
          <w:sz w:val="32"/>
          <w:szCs w:val="32"/>
          <w:lang w:val="en-US" w:eastAsia="zh-CN"/>
        </w:rPr>
        <w:t>个工作</w:t>
      </w:r>
      <w:r>
        <w:rPr>
          <w:rFonts w:hint="eastAsia" w:ascii="仿宋_GB2312" w:hAnsi="宋体" w:eastAsia="仿宋_GB2312" w:cs="仿宋_GB2312"/>
          <w:kern w:val="0"/>
          <w:sz w:val="32"/>
          <w:szCs w:val="32"/>
        </w:rPr>
        <w:t>日内交齐全部货款，逾期不缴纳者，保证金不予退还，其余按照平台规定执行。签订合同后不履行交款、提货义务的，按合同追究违约责任，销售主体有权取消其今后</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资格并有权扣罚</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保证金。</w:t>
      </w:r>
    </w:p>
    <w:p w14:paraId="4FA8FEC3">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过程中保证金按照</w:t>
      </w:r>
      <w:r>
        <w:rPr>
          <w:rFonts w:hint="eastAsia" w:ascii="仿宋_GB2312" w:hAnsi="宋体" w:eastAsia="仿宋_GB2312" w:cs="仿宋_GB2312"/>
          <w:kern w:val="0"/>
          <w:sz w:val="32"/>
          <w:szCs w:val="32"/>
          <w:lang w:val="en-US" w:eastAsia="zh-CN"/>
        </w:rPr>
        <w:t>循环宝</w:t>
      </w:r>
      <w:r>
        <w:rPr>
          <w:rFonts w:hint="eastAsia" w:ascii="仿宋_GB2312" w:hAnsi="宋体" w:eastAsia="仿宋_GB2312" w:cs="仿宋_GB2312"/>
          <w:kern w:val="0"/>
          <w:sz w:val="32"/>
          <w:szCs w:val="32"/>
        </w:rPr>
        <w:t>规定在平台中冻结，未</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成功者保证金在</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结束后即按照</w:t>
      </w:r>
      <w:r>
        <w:rPr>
          <w:rFonts w:hint="eastAsia" w:ascii="仿宋_GB2312" w:hAnsi="宋体" w:eastAsia="仿宋_GB2312" w:cs="仿宋_GB2312"/>
          <w:kern w:val="0"/>
          <w:sz w:val="32"/>
          <w:szCs w:val="32"/>
          <w:lang w:val="en-US" w:eastAsia="zh-CN"/>
        </w:rPr>
        <w:t>循环宝</w:t>
      </w:r>
      <w:r>
        <w:rPr>
          <w:rFonts w:hint="eastAsia" w:ascii="仿宋_GB2312" w:hAnsi="宋体" w:eastAsia="仿宋_GB2312" w:cs="仿宋_GB2312"/>
          <w:kern w:val="0"/>
          <w:sz w:val="32"/>
          <w:szCs w:val="32"/>
        </w:rPr>
        <w:t>规定解冻，</w:t>
      </w:r>
      <w:r>
        <w:rPr>
          <w:rFonts w:hint="eastAsia" w:ascii="仿宋_GB2312" w:hAnsi="宋体" w:eastAsia="仿宋_GB2312" w:cs="仿宋_GB2312"/>
          <w:kern w:val="0"/>
          <w:sz w:val="32"/>
          <w:szCs w:val="32"/>
          <w:lang w:eastAsia="zh-CN"/>
        </w:rPr>
        <w:t>竞价</w:t>
      </w:r>
      <w:r>
        <w:rPr>
          <w:rFonts w:hint="eastAsia" w:ascii="仿宋_GB2312" w:hAnsi="宋体" w:eastAsia="仿宋_GB2312" w:cs="仿宋_GB2312"/>
          <w:kern w:val="0"/>
          <w:sz w:val="32"/>
          <w:szCs w:val="32"/>
        </w:rPr>
        <w:t>成功者向销售主体缴纳全部货款后给予解冻。</w:t>
      </w:r>
    </w:p>
    <w:p w14:paraId="7673D433">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买方须严格遵守日照公司相关的管理规定，服从现场管理，及时安排车辆发运；以卖方的实际出库的指标、重量为准，不接受由于预估数量差异或货品指标差异或包装差异而产生的任何异议。</w:t>
      </w:r>
    </w:p>
    <w:p w14:paraId="26912497">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交货方式：买方自提，提货车辆须为符合山东钢铁集团日照有限公司环保等要求的车辆。车辆匹配现场装车条件，服从现场人员管理，及时清运，保障生产顺行，进厂车辆须保证水箱无水。</w:t>
      </w:r>
    </w:p>
    <w:p w14:paraId="6706106A">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em w:val="dot"/>
          <w:lang w:val="en-US" w:eastAsia="zh-CN" w:bidi="ar-SA"/>
        </w:rPr>
        <w:t>反向竞价方式</w:t>
      </w:r>
      <w:r>
        <w:rPr>
          <w:rFonts w:hint="eastAsia" w:ascii="仿宋_GB2312" w:hAnsi="宋体" w:eastAsia="仿宋_GB2312" w:cs="仿宋_GB2312"/>
          <w:kern w:val="0"/>
          <w:sz w:val="32"/>
          <w:szCs w:val="32"/>
          <w:lang w:val="en-US" w:eastAsia="zh-CN" w:bidi="ar-SA"/>
        </w:rPr>
        <w:t>：报价最高的买方须按照卖方要求在规定时间内缴纳标的物总货款的5%作为保证金，并签订承诺函（详见</w:t>
      </w:r>
      <w:r>
        <w:rPr>
          <w:rFonts w:hint="eastAsia" w:ascii="仿宋_GB2312" w:hAnsi="宋体" w:eastAsia="仿宋_GB2312" w:cs="仿宋_GB2312"/>
          <w:kern w:val="0"/>
          <w:sz w:val="32"/>
          <w:szCs w:val="32"/>
          <w:lang w:val="en-US" w:eastAsia="zh-CN" w:bidi="ar-SA"/>
        </w:rPr>
        <w:fldChar w:fldCharType="begin"/>
      </w:r>
      <w:r>
        <w:rPr>
          <w:rFonts w:hint="eastAsia" w:ascii="仿宋_GB2312" w:hAnsi="宋体" w:eastAsia="仿宋_GB2312" w:cs="仿宋_GB2312"/>
          <w:kern w:val="0"/>
          <w:sz w:val="32"/>
          <w:szCs w:val="32"/>
          <w:lang w:val="en-US" w:eastAsia="zh-CN" w:bidi="ar-SA"/>
        </w:rPr>
        <w:instrText xml:space="preserve"> REF _Ref8462 \r \h </w:instrText>
      </w:r>
      <w:r>
        <w:rPr>
          <w:rFonts w:hint="eastAsia" w:ascii="仿宋_GB2312" w:hAnsi="宋体" w:eastAsia="仿宋_GB2312" w:cs="仿宋_GB2312"/>
          <w:kern w:val="0"/>
          <w:sz w:val="32"/>
          <w:szCs w:val="32"/>
          <w:lang w:val="en-US" w:eastAsia="zh-CN" w:bidi="ar-SA"/>
        </w:rPr>
        <w:fldChar w:fldCharType="separate"/>
      </w:r>
      <w:r>
        <w:rPr>
          <w:rFonts w:hint="eastAsia" w:ascii="仿宋_GB2312" w:hAnsi="宋体" w:eastAsia="仿宋_GB2312" w:cs="仿宋_GB2312"/>
          <w:kern w:val="0"/>
          <w:sz w:val="32"/>
          <w:szCs w:val="32"/>
          <w:lang w:val="en-US" w:eastAsia="zh-CN" w:bidi="ar-SA"/>
        </w:rPr>
        <w:t>附件5</w:t>
      </w:r>
      <w:r>
        <w:rPr>
          <w:rFonts w:hint="eastAsia" w:ascii="仿宋_GB2312" w:hAnsi="宋体" w:eastAsia="仿宋_GB2312" w:cs="仿宋_GB2312"/>
          <w:kern w:val="0"/>
          <w:sz w:val="32"/>
          <w:szCs w:val="32"/>
          <w:lang w:val="en-US" w:eastAsia="zh-CN" w:bidi="ar-SA"/>
        </w:rPr>
        <w:fldChar w:fldCharType="end"/>
      </w:r>
      <w:r>
        <w:rPr>
          <w:rFonts w:hint="eastAsia" w:ascii="仿宋_GB2312" w:hAnsi="宋体" w:eastAsia="仿宋_GB2312" w:cs="仿宋_GB2312"/>
          <w:kern w:val="0"/>
          <w:sz w:val="32"/>
          <w:szCs w:val="32"/>
          <w:lang w:val="en-US" w:eastAsia="zh-CN" w:bidi="ar-SA"/>
        </w:rPr>
        <w:t>），合同履行完毕且履行阶段无违约的情况下，全额退还所缴纳的保证金，期间不计利息。</w:t>
      </w:r>
    </w:p>
    <w:p w14:paraId="139FC54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em w:val="dot"/>
          <w:lang w:val="en-US" w:eastAsia="zh-CN" w:bidi="ar-SA"/>
        </w:rPr>
        <w:t>公开增价方式</w:t>
      </w:r>
      <w:r>
        <w:rPr>
          <w:rFonts w:hint="eastAsia" w:ascii="仿宋_GB2312" w:hAnsi="宋体" w:eastAsia="仿宋_GB2312" w:cs="仿宋_GB2312"/>
          <w:kern w:val="0"/>
          <w:sz w:val="32"/>
          <w:szCs w:val="32"/>
          <w:lang w:val="en-US" w:eastAsia="zh-CN" w:bidi="ar-SA"/>
        </w:rPr>
        <w:t>：中标者须按照卖方要求在规定时间内缴纳标的物总货款的20%作为预付订金，并签订承诺函（详见</w:t>
      </w:r>
      <w:r>
        <w:rPr>
          <w:rFonts w:hint="eastAsia" w:ascii="仿宋_GB2312" w:hAnsi="宋体" w:eastAsia="仿宋_GB2312" w:cs="仿宋_GB2312"/>
          <w:kern w:val="0"/>
          <w:sz w:val="32"/>
          <w:szCs w:val="32"/>
          <w:lang w:val="en-US" w:eastAsia="zh-CN" w:bidi="ar-SA"/>
        </w:rPr>
        <w:fldChar w:fldCharType="begin"/>
      </w:r>
      <w:r>
        <w:rPr>
          <w:rFonts w:hint="eastAsia" w:ascii="仿宋_GB2312" w:hAnsi="宋体" w:eastAsia="仿宋_GB2312" w:cs="仿宋_GB2312"/>
          <w:kern w:val="0"/>
          <w:sz w:val="32"/>
          <w:szCs w:val="32"/>
          <w:lang w:val="en-US" w:eastAsia="zh-CN" w:bidi="ar-SA"/>
        </w:rPr>
        <w:instrText xml:space="preserve"> REF _Ref2418 \r \h </w:instrText>
      </w:r>
      <w:r>
        <w:rPr>
          <w:rFonts w:hint="eastAsia" w:ascii="仿宋_GB2312" w:hAnsi="宋体" w:eastAsia="仿宋_GB2312" w:cs="仿宋_GB2312"/>
          <w:kern w:val="0"/>
          <w:sz w:val="32"/>
          <w:szCs w:val="32"/>
          <w:lang w:val="en-US" w:eastAsia="zh-CN" w:bidi="ar-SA"/>
        </w:rPr>
        <w:fldChar w:fldCharType="separate"/>
      </w:r>
      <w:r>
        <w:rPr>
          <w:rFonts w:hint="eastAsia" w:ascii="仿宋_GB2312" w:hAnsi="宋体" w:eastAsia="仿宋_GB2312" w:cs="仿宋_GB2312"/>
          <w:kern w:val="0"/>
          <w:sz w:val="32"/>
          <w:szCs w:val="32"/>
          <w:lang w:val="en-US" w:eastAsia="zh-CN" w:bidi="ar-SA"/>
        </w:rPr>
        <w:t>附件6</w:t>
      </w:r>
      <w:r>
        <w:rPr>
          <w:rFonts w:hint="eastAsia" w:ascii="仿宋_GB2312" w:hAnsi="宋体" w:eastAsia="仿宋_GB2312" w:cs="仿宋_GB2312"/>
          <w:kern w:val="0"/>
          <w:sz w:val="32"/>
          <w:szCs w:val="32"/>
          <w:lang w:val="en-US" w:eastAsia="zh-CN" w:bidi="ar-SA"/>
        </w:rPr>
        <w:fldChar w:fldCharType="end"/>
      </w:r>
      <w:r>
        <w:rPr>
          <w:rFonts w:hint="eastAsia" w:ascii="仿宋_GB2312" w:hAnsi="宋体" w:eastAsia="仿宋_GB2312" w:cs="仿宋_GB2312"/>
          <w:kern w:val="0"/>
          <w:sz w:val="32"/>
          <w:szCs w:val="32"/>
          <w:lang w:val="en-US" w:eastAsia="zh-CN" w:bidi="ar-SA"/>
        </w:rPr>
        <w:t>）。</w:t>
      </w:r>
    </w:p>
    <w:p w14:paraId="74077C12">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买方接到卖方的成交通知后，按照卖方要求在规定时间内缴纳足额货款，并按照卖方实际出库过磅重量多退少补。</w:t>
      </w:r>
    </w:p>
    <w:p w14:paraId="13CDEFCF">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结算方式：按照卖方过磅重量结合成交单价结算。</w:t>
      </w:r>
    </w:p>
    <w:p w14:paraId="0B02BF8E">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违约：报价最高的买方反悔或未按要求缴纳预付订金/履约保证金时，此次报价将视为无效报价，并取消此次预中标资格，且6个月内禁止参与日照公司固废销售竞卖项目。同一买方累计出现两次上述行为的，永久禁止参与公司竞卖项目。</w:t>
      </w:r>
    </w:p>
    <w:p w14:paraId="66835E42">
      <w:pPr>
        <w:pageBreakBefore w:val="0"/>
        <w:tabs>
          <w:tab w:val="left" w:pos="425"/>
        </w:tabs>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买方缴纳预付订金</w:t>
      </w:r>
      <w:r>
        <w:rPr>
          <w:rFonts w:hint="eastAsia" w:ascii="仿宋_GB2312" w:hAnsi="宋体" w:eastAsia="仿宋_GB2312" w:cs="仿宋_GB2312"/>
          <w:kern w:val="0"/>
          <w:sz w:val="32"/>
          <w:szCs w:val="32"/>
          <w:lang w:val="en-US" w:eastAsia="zh-CN" w:bidi="ar-SA"/>
        </w:rPr>
        <w:t>/履约保证金</w:t>
      </w:r>
      <w:r>
        <w:rPr>
          <w:rFonts w:hint="eastAsia" w:ascii="仿宋_GB2312" w:hAnsi="仿宋_GB2312" w:eastAsia="仿宋_GB2312" w:cs="仿宋_GB2312"/>
          <w:color w:val="auto"/>
          <w:sz w:val="32"/>
          <w:szCs w:val="32"/>
        </w:rPr>
        <w:t>后，发生下列情况之一的，</w:t>
      </w:r>
      <w:r>
        <w:rPr>
          <w:rFonts w:hint="eastAsia" w:ascii="仿宋_GB2312" w:hAnsi="仿宋" w:eastAsia="仿宋_GB2312" w:cs="宋体"/>
          <w:color w:val="auto"/>
          <w:kern w:val="0"/>
          <w:sz w:val="32"/>
          <w:szCs w:val="32"/>
        </w:rPr>
        <w:t>12个月内禁止</w:t>
      </w:r>
      <w:r>
        <w:rPr>
          <w:rFonts w:hint="eastAsia" w:ascii="仿宋_GB2312" w:hAnsi="仿宋_GB2312" w:eastAsia="仿宋_GB2312" w:cs="仿宋_GB2312"/>
          <w:color w:val="auto"/>
          <w:sz w:val="32"/>
          <w:szCs w:val="32"/>
        </w:rPr>
        <w:t>参与日照公司</w:t>
      </w:r>
      <w:r>
        <w:rPr>
          <w:rFonts w:hint="eastAsia" w:ascii="仿宋_GB2312" w:hAnsi="仿宋_GB2312" w:eastAsia="仿宋_GB2312" w:cs="仿宋_GB2312"/>
          <w:color w:val="auto"/>
          <w:sz w:val="32"/>
          <w:szCs w:val="32"/>
          <w:lang w:val="en-US" w:eastAsia="zh-CN"/>
        </w:rPr>
        <w:t>固废</w:t>
      </w:r>
      <w:r>
        <w:rPr>
          <w:rFonts w:hint="eastAsia" w:ascii="仿宋_GB2312" w:hAnsi="仿宋_GB2312" w:eastAsia="仿宋_GB2312" w:cs="仿宋_GB2312"/>
          <w:color w:val="auto"/>
          <w:sz w:val="32"/>
          <w:szCs w:val="32"/>
        </w:rPr>
        <w:t>销售竞卖项目，并扣除买方缴纳的预付订金</w:t>
      </w:r>
      <w:r>
        <w:rPr>
          <w:rFonts w:hint="eastAsia" w:ascii="仿宋_GB2312" w:hAnsi="宋体" w:eastAsia="仿宋_GB2312" w:cs="仿宋_GB2312"/>
          <w:kern w:val="0"/>
          <w:sz w:val="32"/>
          <w:szCs w:val="32"/>
          <w:lang w:val="en-US" w:eastAsia="zh-CN" w:bidi="ar-SA"/>
        </w:rPr>
        <w:t>/履约保证金</w:t>
      </w:r>
      <w:r>
        <w:rPr>
          <w:rFonts w:hint="eastAsia" w:ascii="仿宋_GB2312" w:hAnsi="仿宋_GB2312" w:eastAsia="仿宋_GB2312" w:cs="仿宋_GB2312"/>
          <w:color w:val="auto"/>
          <w:sz w:val="32"/>
          <w:szCs w:val="32"/>
        </w:rPr>
        <w:t>后；买方触犯法律的，</w:t>
      </w:r>
      <w:r>
        <w:rPr>
          <w:rFonts w:hint="eastAsia" w:ascii="仿宋_GB2312" w:hAnsi="仿宋" w:eastAsia="仿宋_GB2312" w:cs="宋体"/>
          <w:color w:val="auto"/>
          <w:kern w:val="0"/>
          <w:sz w:val="32"/>
          <w:szCs w:val="32"/>
        </w:rPr>
        <w:t>将解除合同，永久取消参与日照公司</w:t>
      </w:r>
      <w:r>
        <w:rPr>
          <w:rFonts w:hint="eastAsia" w:ascii="仿宋_GB2312" w:hAnsi="仿宋_GB2312" w:eastAsia="仿宋_GB2312" w:cs="仿宋_GB2312"/>
          <w:color w:val="auto"/>
          <w:sz w:val="32"/>
          <w:szCs w:val="32"/>
        </w:rPr>
        <w:t>竞卖项目的资格，并全额扣除买方缴纳的预付订金</w:t>
      </w:r>
      <w:r>
        <w:rPr>
          <w:rFonts w:hint="eastAsia" w:ascii="仿宋_GB2312" w:hAnsi="宋体" w:eastAsia="仿宋_GB2312" w:cs="仿宋_GB2312"/>
          <w:kern w:val="0"/>
          <w:sz w:val="32"/>
          <w:szCs w:val="32"/>
          <w:lang w:val="en-US" w:eastAsia="zh-CN" w:bidi="ar-SA"/>
        </w:rPr>
        <w:t>/履约保证金</w:t>
      </w:r>
      <w:r>
        <w:rPr>
          <w:rFonts w:hint="eastAsia" w:ascii="仿宋_GB2312" w:hAnsi="仿宋_GB2312" w:eastAsia="仿宋_GB2312" w:cs="仿宋_GB2312"/>
          <w:color w:val="auto"/>
          <w:sz w:val="32"/>
          <w:szCs w:val="32"/>
        </w:rPr>
        <w:t>。</w:t>
      </w:r>
    </w:p>
    <w:p w14:paraId="115A1C8A">
      <w:pPr>
        <w:pageBreakBefore w:val="0"/>
        <w:tabs>
          <w:tab w:val="left" w:pos="425"/>
        </w:tabs>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情况：</w:t>
      </w:r>
    </w:p>
    <w:p w14:paraId="2C669062">
      <w:pPr>
        <w:pageBreakBefore w:val="0"/>
        <w:tabs>
          <w:tab w:val="left" w:pos="425"/>
        </w:tabs>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a.买方因自身原因不签署合同的；</w:t>
      </w:r>
    </w:p>
    <w:p w14:paraId="2879BE5B">
      <w:pPr>
        <w:pageBreakBefore w:val="0"/>
        <w:tabs>
          <w:tab w:val="left" w:pos="425"/>
        </w:tabs>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color w:val="auto"/>
          <w:sz w:val="32"/>
          <w:szCs w:val="32"/>
        </w:rPr>
      </w:pPr>
      <w:r>
        <w:rPr>
          <w:rFonts w:hint="eastAsia" w:ascii="仿宋_GB2312" w:hAnsi="等线" w:eastAsia="仿宋_GB2312" w:cs="华文楷体"/>
          <w:color w:val="auto"/>
          <w:sz w:val="32"/>
          <w:szCs w:val="32"/>
        </w:rPr>
        <w:t>b.未按照卖方要求缴纳货款的；</w:t>
      </w:r>
    </w:p>
    <w:p w14:paraId="7E23632D">
      <w:pPr>
        <w:pageBreakBefore w:val="0"/>
        <w:tabs>
          <w:tab w:val="left" w:pos="425"/>
        </w:tabs>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c.未按照公告、承诺函、已签订合同约定条款执行的；</w:t>
      </w:r>
    </w:p>
    <w:p w14:paraId="2535C206">
      <w:pPr>
        <w:pageBreakBefore w:val="0"/>
        <w:tabs>
          <w:tab w:val="left" w:pos="425"/>
        </w:tabs>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d.在生产、经营、环境、安全等方面给卖方造成损失或不良影响的。</w:t>
      </w:r>
    </w:p>
    <w:p w14:paraId="1406752C">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 w:eastAsia="仿宋_GB2312"/>
          <w:sz w:val="32"/>
          <w:szCs w:val="32"/>
          <w:highlight w:val="none"/>
          <w:lang w:val="en-US" w:eastAsia="zh-CN"/>
        </w:rPr>
        <w:t>e.</w:t>
      </w:r>
      <w:r>
        <w:rPr>
          <w:rFonts w:hint="eastAsia" w:ascii="仿宋_GB2312" w:hAnsi="宋体" w:eastAsia="仿宋_GB2312" w:cs="仿宋_GB2312"/>
          <w:color w:val="000000"/>
          <w:kern w:val="0"/>
          <w:sz w:val="32"/>
          <w:szCs w:val="32"/>
          <w:highlight w:val="none"/>
          <w:lang w:val="en-US" w:eastAsia="zh-CN" w:bidi="ar"/>
        </w:rPr>
        <w:t>对同批次竞拍项目</w:t>
      </w:r>
      <w:r>
        <w:rPr>
          <w:rFonts w:hint="eastAsia" w:ascii="仿宋_GB2312" w:hAnsi="宋体" w:eastAsia="仿宋_GB2312" w:cs="仿宋_GB2312"/>
          <w:color w:val="000000"/>
          <w:kern w:val="0"/>
          <w:sz w:val="32"/>
          <w:szCs w:val="32"/>
          <w:highlight w:val="none"/>
          <w:em w:val="dot"/>
          <w:lang w:val="en-US" w:eastAsia="zh-CN" w:bidi="ar"/>
        </w:rPr>
        <w:t>IP地址相同的客户</w:t>
      </w:r>
      <w:r>
        <w:rPr>
          <w:rFonts w:hint="eastAsia" w:ascii="仿宋_GB2312" w:hAnsi="宋体" w:eastAsia="仿宋_GB2312" w:cs="仿宋_GB2312"/>
          <w:color w:val="000000"/>
          <w:kern w:val="0"/>
          <w:sz w:val="32"/>
          <w:szCs w:val="32"/>
          <w:highlight w:val="none"/>
          <w:lang w:val="en-US" w:eastAsia="zh-CN" w:bidi="ar"/>
        </w:rPr>
        <w:t>，按照《欧冶循环宝竞价交易规则》（第五版）11条违约处理原则处置。</w:t>
      </w:r>
    </w:p>
    <w:p w14:paraId="4519789E">
      <w:pPr>
        <w:pageBreakBefore w:val="0"/>
        <w:tabs>
          <w:tab w:val="left" w:pos="425"/>
        </w:tabs>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color w:val="auto"/>
          <w:sz w:val="32"/>
          <w:szCs w:val="32"/>
        </w:rPr>
      </w:pPr>
      <w:r>
        <w:rPr>
          <w:rFonts w:hint="eastAsia" w:ascii="仿宋_GB2312" w:hAnsi="仿宋" w:eastAsia="仿宋_GB2312" w:cs="宋体"/>
          <w:color w:val="auto"/>
          <w:kern w:val="0"/>
          <w:sz w:val="32"/>
          <w:szCs w:val="32"/>
        </w:rPr>
        <w:t>买方</w:t>
      </w:r>
      <w:r>
        <w:rPr>
          <w:rFonts w:hint="eastAsia" w:ascii="仿宋_GB2312" w:hAnsi="仿宋_GB2312" w:eastAsia="仿宋_GB2312" w:cs="仿宋_GB2312"/>
          <w:color w:val="auto"/>
          <w:sz w:val="32"/>
          <w:szCs w:val="32"/>
        </w:rPr>
        <w:t>发生违约情况时，影响卖方正常生产，为保障生产需求卖方有权终止合同，并重新组织招标。</w:t>
      </w:r>
    </w:p>
    <w:p w14:paraId="3DD384EA">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lang w:val="en-US" w:eastAsia="zh-CN" w:bidi="ar-SA"/>
        </w:rPr>
        <w:t>为保护买方权益，卖方对买方信息不予公开。对于成交价格，买方可在竞卖结束之日起七个工作日后电话咨询卖方。</w:t>
      </w:r>
    </w:p>
    <w:p w14:paraId="2B782665">
      <w:pPr>
        <w:pStyle w:val="2"/>
        <w:pageBreakBefore w:val="0"/>
        <w:kinsoku/>
        <w:wordWrap/>
        <w:overflowPunct/>
        <w:topLinePunct w:val="0"/>
        <w:autoSpaceDE/>
        <w:autoSpaceDN/>
        <w:bidi w:val="0"/>
        <w:adjustRightInd/>
        <w:snapToGrid/>
        <w:spacing w:line="560" w:lineRule="exact"/>
      </w:pPr>
      <w:r>
        <w:rPr>
          <w:rFonts w:hint="eastAsia"/>
          <w:lang w:val="en-US" w:eastAsia="zh-CN"/>
        </w:rPr>
        <w:t>踏勘现场、</w:t>
      </w:r>
      <w:r>
        <w:rPr>
          <w:rFonts w:hint="eastAsia"/>
        </w:rPr>
        <w:t>公告发布及</w:t>
      </w:r>
      <w:r>
        <w:rPr>
          <w:rFonts w:hint="eastAsia"/>
          <w:lang w:eastAsia="zh-CN"/>
        </w:rPr>
        <w:t>竞价</w:t>
      </w:r>
      <w:r>
        <w:rPr>
          <w:rFonts w:hint="eastAsia"/>
        </w:rPr>
        <w:t>时间</w:t>
      </w:r>
      <w:r>
        <w:rPr>
          <w:rFonts w:hint="eastAsia"/>
          <w:lang w:eastAsia="zh-CN"/>
        </w:rPr>
        <w:t>（</w:t>
      </w:r>
      <w:r>
        <w:rPr>
          <w:rFonts w:hint="eastAsia"/>
          <w:lang w:val="en-US" w:eastAsia="zh-CN"/>
        </w:rPr>
        <w:t>特别重要！</w:t>
      </w:r>
      <w:r>
        <w:rPr>
          <w:rFonts w:hint="eastAsia"/>
          <w:lang w:eastAsia="zh-CN"/>
        </w:rPr>
        <w:t>）</w:t>
      </w:r>
    </w:p>
    <w:p w14:paraId="39125EBB">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hint="default" w:ascii="仿宋_GB2312" w:hAnsi="宋体" w:eastAsia="仿宋_GB2312" w:cs="仿宋_GB2312"/>
          <w:kern w:val="0"/>
          <w:sz w:val="32"/>
          <w:szCs w:val="32"/>
          <w:highlight w:val="none"/>
          <w:lang w:val="en-US" w:eastAsia="zh-CN"/>
        </w:rPr>
      </w:pPr>
      <w:r>
        <w:rPr>
          <w:rFonts w:hint="eastAsia" w:ascii="仿宋_GB2312" w:hAnsi="宋体" w:eastAsia="仿宋_GB2312" w:cs="仿宋_GB2312"/>
          <w:kern w:val="0"/>
          <w:sz w:val="32"/>
          <w:szCs w:val="32"/>
          <w:highlight w:val="none"/>
          <w:lang w:val="en-US" w:eastAsia="zh-CN"/>
        </w:rPr>
        <w:t>此公告将在山钢集团招标采购与拍卖管理信息平台与欧冶循环宝平台两个平台同步发布。确保在上述两个平台均注册成功。</w:t>
      </w:r>
    </w:p>
    <w:p w14:paraId="1AA846F3">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hint="default" w:ascii="仿宋_GB2312" w:hAnsi="宋体" w:eastAsia="仿宋_GB2312" w:cs="仿宋_GB2312"/>
          <w:kern w:val="0"/>
          <w:sz w:val="32"/>
          <w:szCs w:val="32"/>
          <w:highlight w:val="none"/>
          <w:lang w:val="en-US" w:eastAsia="zh-CN"/>
        </w:rPr>
      </w:pPr>
      <w:r>
        <w:rPr>
          <w:rFonts w:hint="eastAsia" w:ascii="仿宋_GB2312" w:hAnsi="宋体" w:eastAsia="仿宋_GB2312" w:cs="仿宋_GB2312"/>
          <w:kern w:val="0"/>
          <w:sz w:val="32"/>
          <w:szCs w:val="32"/>
          <w:highlight w:val="none"/>
          <w:lang w:val="en-US" w:eastAsia="zh-CN"/>
        </w:rPr>
        <w:t>踏勘</w:t>
      </w:r>
      <w:r>
        <w:rPr>
          <w:rFonts w:hint="eastAsia" w:ascii="仿宋_GB2312" w:hAnsi="宋体" w:eastAsia="仿宋_GB2312" w:cs="仿宋_GB2312"/>
          <w:kern w:val="0"/>
          <w:sz w:val="32"/>
          <w:szCs w:val="32"/>
          <w:highlight w:val="none"/>
          <w:lang w:val="en-US" w:eastAsia="zh-CN" w:bidi="ar-SA"/>
        </w:rPr>
        <w:t>现场：</w:t>
      </w:r>
      <w:r>
        <w:rPr>
          <w:rFonts w:hint="eastAsia" w:ascii="仿宋_GB2312" w:hAnsi="宋体" w:eastAsia="仿宋_GB2312" w:cs="仿宋_GB2312"/>
          <w:kern w:val="0"/>
          <w:sz w:val="32"/>
          <w:szCs w:val="32"/>
          <w:highlight w:val="yellow"/>
          <w:lang w:val="en-US" w:eastAsia="zh-CN" w:bidi="ar-SA"/>
        </w:rPr>
        <w:t>2026年9月15日14:00，</w:t>
      </w:r>
      <w:r>
        <w:rPr>
          <w:rFonts w:hint="eastAsia" w:ascii="仿宋_GB2312" w:hAnsi="宋体" w:eastAsia="仿宋_GB2312" w:cs="仿宋_GB2312"/>
          <w:kern w:val="0"/>
          <w:sz w:val="32"/>
          <w:szCs w:val="32"/>
          <w:highlight w:val="none"/>
          <w:lang w:val="en-US" w:eastAsia="zh-CN" w:bidi="ar-SA"/>
        </w:rPr>
        <w:t>统一组织现场踏勘。（进厂方法见</w:t>
      </w:r>
      <w:r>
        <w:rPr>
          <w:rFonts w:hint="eastAsia" w:ascii="仿宋_GB2312" w:hAnsi="宋体" w:eastAsia="仿宋_GB2312" w:cs="仿宋_GB2312"/>
          <w:kern w:val="0"/>
          <w:sz w:val="32"/>
          <w:szCs w:val="32"/>
          <w:highlight w:val="none"/>
          <w:lang w:val="en-US" w:eastAsia="zh-CN" w:bidi="ar-SA"/>
        </w:rPr>
        <w:fldChar w:fldCharType="begin"/>
      </w:r>
      <w:r>
        <w:rPr>
          <w:rFonts w:hint="eastAsia" w:ascii="仿宋_GB2312" w:hAnsi="宋体" w:eastAsia="仿宋_GB2312" w:cs="仿宋_GB2312"/>
          <w:kern w:val="0"/>
          <w:sz w:val="32"/>
          <w:szCs w:val="32"/>
          <w:highlight w:val="none"/>
          <w:lang w:val="en-US" w:eastAsia="zh-CN" w:bidi="ar-SA"/>
        </w:rPr>
        <w:instrText xml:space="preserve"> REF _Ref16409 \r \h </w:instrText>
      </w:r>
      <w:r>
        <w:rPr>
          <w:rFonts w:hint="eastAsia" w:ascii="仿宋_GB2312" w:hAnsi="宋体" w:eastAsia="仿宋_GB2312" w:cs="仿宋_GB2312"/>
          <w:kern w:val="0"/>
          <w:sz w:val="32"/>
          <w:szCs w:val="32"/>
          <w:highlight w:val="none"/>
          <w:lang w:val="en-US" w:eastAsia="zh-CN" w:bidi="ar-SA"/>
        </w:rPr>
        <w:fldChar w:fldCharType="separate"/>
      </w:r>
      <w:r>
        <w:rPr>
          <w:rFonts w:hint="eastAsia" w:ascii="仿宋_GB2312" w:hAnsi="宋体" w:eastAsia="仿宋_GB2312" w:cs="仿宋_GB2312"/>
          <w:kern w:val="0"/>
          <w:sz w:val="32"/>
          <w:szCs w:val="32"/>
          <w:highlight w:val="none"/>
          <w:lang w:val="en-US" w:eastAsia="zh-CN" w:bidi="ar-SA"/>
        </w:rPr>
        <w:t>附件2</w:t>
      </w:r>
      <w:r>
        <w:rPr>
          <w:rFonts w:hint="eastAsia" w:ascii="仿宋_GB2312" w:hAnsi="宋体" w:eastAsia="仿宋_GB2312" w:cs="仿宋_GB2312"/>
          <w:kern w:val="0"/>
          <w:sz w:val="32"/>
          <w:szCs w:val="32"/>
          <w:highlight w:val="none"/>
          <w:lang w:val="en-US" w:eastAsia="zh-CN" w:bidi="ar-SA"/>
        </w:rPr>
        <w:fldChar w:fldCharType="end"/>
      </w:r>
      <w:r>
        <w:rPr>
          <w:rFonts w:hint="eastAsia" w:ascii="仿宋_GB2312" w:hAnsi="宋体" w:eastAsia="仿宋_GB2312" w:cs="仿宋_GB2312"/>
          <w:kern w:val="0"/>
          <w:sz w:val="32"/>
          <w:szCs w:val="32"/>
          <w:highlight w:val="none"/>
          <w:lang w:val="en-US" w:eastAsia="zh-CN" w:bidi="ar-SA"/>
        </w:rPr>
        <w:t>，</w:t>
      </w:r>
      <w:r>
        <w:rPr>
          <w:rFonts w:hint="eastAsia" w:ascii="仿宋_GB2312" w:hAnsi="宋体" w:eastAsia="仿宋_GB2312" w:cs="仿宋_GB2312"/>
          <w:kern w:val="0"/>
          <w:sz w:val="32"/>
          <w:szCs w:val="32"/>
          <w:highlight w:val="none"/>
          <w:em w:val="dot"/>
          <w:lang w:val="en-US" w:eastAsia="zh-CN" w:bidi="ar-SA"/>
        </w:rPr>
        <w:t>于前日预约能源环保部（原环境保护部），预约完毕后，第一时间通知销售业务负责人0633-7925565，由其办理审批</w:t>
      </w:r>
      <w:r>
        <w:rPr>
          <w:rFonts w:hint="eastAsia" w:ascii="仿宋_GB2312" w:hAnsi="宋体" w:eastAsia="仿宋_GB2312" w:cs="仿宋_GB2312"/>
          <w:kern w:val="0"/>
          <w:sz w:val="32"/>
          <w:szCs w:val="32"/>
          <w:highlight w:val="none"/>
          <w:lang w:val="en-US" w:eastAsia="zh-CN" w:bidi="ar-SA"/>
        </w:rPr>
        <w:t>）。自备取样工具。特别提醒，后备箱等车内不要带其他无相关物资。</w:t>
      </w:r>
      <w:r>
        <w:rPr>
          <w:rFonts w:hint="eastAsia" w:ascii="仿宋_GB2312" w:hAnsi="宋体" w:eastAsia="仿宋_GB2312" w:cs="仿宋_GB2312"/>
          <w:kern w:val="0"/>
          <w:sz w:val="32"/>
          <w:szCs w:val="32"/>
          <w:highlight w:val="none"/>
          <w:em w:val="dot"/>
          <w:lang w:val="en-US" w:eastAsia="zh-CN" w:bidi="ar-SA"/>
        </w:rPr>
        <w:t>由于本次销售为期货，现场踏勘主要以技术交流为主，不具备实物取样条件。</w:t>
      </w:r>
    </w:p>
    <w:p w14:paraId="69C0EC0D">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资格审查时间：</w:t>
      </w:r>
      <w:r>
        <w:rPr>
          <w:rFonts w:hint="eastAsia" w:ascii="仿宋_GB2312" w:hAnsi="宋体" w:eastAsia="仿宋_GB2312" w:cs="仿宋_GB2312"/>
          <w:kern w:val="0"/>
          <w:sz w:val="32"/>
          <w:szCs w:val="32"/>
          <w:highlight w:val="yellow"/>
          <w:lang w:val="en-US" w:eastAsia="zh-CN"/>
        </w:rPr>
        <w:t>2026年9月16日9:00（以系统网站时间为准）</w:t>
      </w:r>
      <w:r>
        <w:rPr>
          <w:rFonts w:hint="eastAsia" w:ascii="仿宋_GB2312" w:hAnsi="宋体" w:eastAsia="仿宋_GB2312" w:cs="仿宋_GB2312"/>
          <w:kern w:val="0"/>
          <w:sz w:val="32"/>
          <w:szCs w:val="32"/>
          <w:highlight w:val="none"/>
          <w:lang w:val="en-US" w:eastAsia="zh-CN"/>
        </w:rPr>
        <w:t>。请务必于该时间点前，在山钢招标采购平台（网址：</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HYPERLINK "http://bams.shansteelgroup.com/Suppliers/Default.aspx"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https://bams.shansteelgroup.com/Suppliers/Default.aspx</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），注册、上传公告要求文件，</w:t>
      </w:r>
      <w:r>
        <w:rPr>
          <w:rFonts w:hint="eastAsia" w:ascii="仿宋_GB2312" w:hAnsi="宋体" w:eastAsia="仿宋_GB2312" w:cs="仿宋_GB2312"/>
          <w:kern w:val="0"/>
          <w:sz w:val="32"/>
          <w:szCs w:val="32"/>
          <w:highlight w:val="none"/>
          <w:em w:val="dot"/>
          <w:lang w:val="en-US" w:eastAsia="zh-CN"/>
        </w:rPr>
        <w:t>报名、报价</w:t>
      </w:r>
      <w:r>
        <w:rPr>
          <w:rFonts w:hint="eastAsia" w:ascii="仿宋_GB2312" w:hAnsi="宋体" w:eastAsia="仿宋_GB2312" w:cs="仿宋_GB2312"/>
          <w:kern w:val="0"/>
          <w:sz w:val="32"/>
          <w:szCs w:val="32"/>
          <w:highlight w:val="none"/>
          <w:lang w:val="en-US" w:eastAsia="zh-CN"/>
        </w:rPr>
        <w:t>（操作指南见</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REF _Ref149 \r \h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附件4</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）。建议本次各包报价均填写1元/吨。该平台报价不作为最终竞价，只作为资格审查前的象征性报价。该时间截止后，再行更改上传资质视为无效。</w:t>
      </w:r>
    </w:p>
    <w:p w14:paraId="51A50CF1">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资质文件：营业执照（税务登记证合二为一）、危废许可证、授权委托书、本标相关的生产工艺流程等材料。须加盖公章扫描上传。</w:t>
      </w:r>
    </w:p>
    <w:p w14:paraId="5E0D6491">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正式</w:t>
      </w:r>
      <w:r>
        <w:rPr>
          <w:rFonts w:hint="eastAsia" w:ascii="仿宋_GB2312" w:hAnsi="宋体" w:eastAsia="仿宋_GB2312" w:cs="仿宋_GB2312"/>
          <w:kern w:val="0"/>
          <w:sz w:val="32"/>
          <w:szCs w:val="32"/>
          <w:highlight w:val="none"/>
          <w:lang w:eastAsia="zh-CN"/>
        </w:rPr>
        <w:t>竞价</w:t>
      </w:r>
      <w:r>
        <w:rPr>
          <w:rFonts w:hint="eastAsia" w:ascii="仿宋_GB2312" w:hAnsi="宋体" w:eastAsia="仿宋_GB2312" w:cs="仿宋_GB2312"/>
          <w:kern w:val="0"/>
          <w:sz w:val="32"/>
          <w:szCs w:val="32"/>
          <w:highlight w:val="none"/>
        </w:rPr>
        <w:t>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lang w:val="en-US" w:eastAsia="zh-CN"/>
        </w:rPr>
        <w:t>开标时间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rPr>
        <w:t>：</w:t>
      </w:r>
      <w:r>
        <w:rPr>
          <w:rFonts w:hint="eastAsia" w:ascii="仿宋_GB2312" w:hAnsi="宋体" w:eastAsia="仿宋_GB2312" w:cs="仿宋_GB2312"/>
          <w:kern w:val="0"/>
          <w:sz w:val="32"/>
          <w:szCs w:val="32"/>
          <w:highlight w:val="yellow"/>
          <w:lang w:val="en-US" w:eastAsia="zh-CN"/>
        </w:rPr>
        <w:t>2026年9月17日14:00-15:00（以系统网站时间为准）。</w:t>
      </w:r>
      <w:r>
        <w:rPr>
          <w:rFonts w:hint="eastAsia" w:ascii="仿宋_GB2312" w:hAnsi="宋体" w:eastAsia="仿宋_GB2312" w:cs="仿宋_GB2312"/>
          <w:kern w:val="0"/>
          <w:sz w:val="32"/>
          <w:szCs w:val="32"/>
          <w:highlight w:val="none"/>
          <w:lang w:val="en-US" w:eastAsia="zh-CN"/>
        </w:rPr>
        <w:t>资格预审合格后，及时关注循环宝平台发布的正式销售竞价公告。请于该时间段前，在欧冶循环宝平台（网址：https://www.ouyeel.com/search-ng/exchange/home），完成注册、竞价等。按照循环宝平台规则，</w:t>
      </w:r>
      <w:r>
        <w:rPr>
          <w:rFonts w:hint="eastAsia" w:ascii="仿宋_GB2312" w:hAnsi="宋体" w:eastAsia="仿宋_GB2312" w:cs="仿宋_GB2312"/>
          <w:kern w:val="0"/>
          <w:sz w:val="32"/>
          <w:szCs w:val="32"/>
          <w:highlight w:val="none"/>
          <w:em w:val="dot"/>
          <w:lang w:val="en-US" w:eastAsia="zh-CN"/>
        </w:rPr>
        <w:t>竞价前需要向循环宝平台缴纳投标保证金</w:t>
      </w:r>
      <w:r>
        <w:rPr>
          <w:rFonts w:hint="eastAsia" w:ascii="仿宋_GB2312" w:hAnsi="宋体" w:eastAsia="仿宋_GB2312" w:cs="仿宋_GB2312"/>
          <w:kern w:val="0"/>
          <w:sz w:val="32"/>
          <w:szCs w:val="32"/>
          <w:highlight w:val="none"/>
          <w:lang w:val="en-US" w:eastAsia="zh-CN"/>
        </w:rPr>
        <w:t>，请提前办理。</w:t>
      </w:r>
    </w:p>
    <w:p w14:paraId="01D401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仿宋_GB2312" w:hAnsi="宋体" w:eastAsia="仿宋_GB2312" w:cs="仿宋_GB2312"/>
          <w:kern w:val="0"/>
          <w:sz w:val="32"/>
          <w:szCs w:val="32"/>
          <w:highlight w:val="none"/>
        </w:rPr>
      </w:pPr>
      <w:r>
        <w:rPr>
          <w:rFonts w:ascii="仿宋_GB2312" w:hAnsi="宋体" w:eastAsia="仿宋_GB2312" w:cs="仿宋_GB2312"/>
          <w:kern w:val="0"/>
          <w:sz w:val="32"/>
          <w:szCs w:val="32"/>
          <w:highlight w:val="none"/>
        </w:rPr>
        <w:drawing>
          <wp:inline distT="0" distB="0" distL="114300" distR="114300">
            <wp:extent cx="6644640" cy="1060450"/>
            <wp:effectExtent l="0" t="0" r="10160" b="6350"/>
            <wp:docPr id="1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pic:cNvPicPr>
                      <a:picLocks noChangeAspect="1"/>
                    </pic:cNvPicPr>
                  </pic:nvPicPr>
                  <pic:blipFill>
                    <a:blip r:embed="rId11"/>
                    <a:stretch>
                      <a:fillRect/>
                    </a:stretch>
                  </pic:blipFill>
                  <pic:spPr>
                    <a:xfrm>
                      <a:off x="0" y="0"/>
                      <a:ext cx="6644640" cy="1060450"/>
                    </a:xfrm>
                    <a:prstGeom prst="rect">
                      <a:avLst/>
                    </a:prstGeom>
                    <a:noFill/>
                    <a:ln>
                      <a:noFill/>
                    </a:ln>
                  </pic:spPr>
                </pic:pic>
              </a:graphicData>
            </a:graphic>
          </wp:inline>
        </w:drawing>
      </w:r>
    </w:p>
    <w:p w14:paraId="3DFC1014">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循环宝竞价流程</w:t>
      </w:r>
    </w:p>
    <w:p w14:paraId="4CFAF19B">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只有在山钢招标采购平台网上正确完成填报价格，才具备资质审核前提。只有资质审核通过，才具备在欧冶循环宝平台竞价的前提，请务必完成上述两个平台的相应工作。</w:t>
      </w:r>
    </w:p>
    <w:p w14:paraId="02E83746">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资格审查后，请关注循环宝正式公告的发布。</w:t>
      </w:r>
    </w:p>
    <w:p w14:paraId="3AE64126">
      <w:pPr>
        <w:pStyle w:val="2"/>
        <w:pageBreakBefore w:val="0"/>
        <w:kinsoku/>
        <w:wordWrap/>
        <w:overflowPunct/>
        <w:topLinePunct w:val="0"/>
        <w:autoSpaceDE/>
        <w:autoSpaceDN/>
        <w:bidi w:val="0"/>
        <w:adjustRightInd/>
        <w:snapToGrid/>
        <w:spacing w:line="560" w:lineRule="exact"/>
        <w:rPr>
          <w:rFonts w:ascii="黑体" w:hAnsi="黑体" w:eastAsia="黑体" w:cs="黑体"/>
          <w:b/>
          <w:bCs/>
          <w:kern w:val="0"/>
          <w:sz w:val="32"/>
          <w:szCs w:val="32"/>
        </w:rPr>
      </w:pPr>
      <w:r>
        <w:rPr>
          <w:rFonts w:hint="eastAsia" w:ascii="黑体" w:hAnsi="黑体" w:eastAsia="黑体" w:cs="黑体"/>
          <w:b w:val="0"/>
          <w:bCs w:val="0"/>
          <w:kern w:val="0"/>
          <w:sz w:val="32"/>
          <w:szCs w:val="32"/>
        </w:rPr>
        <w:t>销售主体联系人及联系电话</w:t>
      </w:r>
      <w:r>
        <w:rPr>
          <w:rFonts w:hint="eastAsia" w:ascii="黑体" w:hAnsi="黑体" w:cs="黑体"/>
          <w:b w:val="0"/>
          <w:bCs w:val="0"/>
          <w:kern w:val="0"/>
          <w:sz w:val="32"/>
          <w:szCs w:val="32"/>
          <w:lang w:val="en-US" w:eastAsia="zh-CN"/>
        </w:rPr>
        <w:t>与循环宝客服热线</w:t>
      </w:r>
    </w:p>
    <w:p w14:paraId="0662C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auto"/>
          <w:kern w:val="0"/>
          <w:sz w:val="32"/>
          <w:szCs w:val="32"/>
          <w:lang w:eastAsia="zh-CN"/>
        </w:rPr>
      </w:pPr>
      <w:r>
        <w:rPr>
          <w:rFonts w:hint="eastAsia" w:ascii="仿宋_GB2312" w:hAnsi="宋体" w:eastAsia="仿宋_GB2312" w:cs="仿宋_GB2312"/>
          <w:color w:val="auto"/>
          <w:kern w:val="0"/>
          <w:sz w:val="32"/>
          <w:szCs w:val="32"/>
          <w:lang w:val="en-US" w:eastAsia="zh-CN"/>
        </w:rPr>
        <w:t>魏</w:t>
      </w:r>
      <w:r>
        <w:rPr>
          <w:rFonts w:hint="eastAsia" w:ascii="仿宋_GB2312" w:hAnsi="宋体" w:eastAsia="仿宋_GB2312" w:cs="仿宋_GB2312"/>
          <w:color w:val="auto"/>
          <w:kern w:val="0"/>
          <w:sz w:val="32"/>
          <w:szCs w:val="32"/>
        </w:rPr>
        <w:t>经理：</w:t>
      </w:r>
      <w:r>
        <w:rPr>
          <w:rFonts w:hint="eastAsia" w:ascii="仿宋_GB2312" w:hAnsi="宋体" w:eastAsia="仿宋_GB2312" w:cs="仿宋_GB2312"/>
          <w:color w:val="auto"/>
          <w:kern w:val="0"/>
          <w:sz w:val="32"/>
          <w:szCs w:val="32"/>
          <w:lang w:eastAsia="zh-CN"/>
        </w:rPr>
        <w:t>0633-7925565；</w:t>
      </w:r>
      <w:r>
        <w:rPr>
          <w:rFonts w:hint="eastAsia" w:ascii="仿宋_GB2312" w:hAnsi="宋体" w:eastAsia="仿宋_GB2312" w:cs="仿宋_GB2312"/>
          <w:color w:val="auto"/>
          <w:kern w:val="0"/>
          <w:sz w:val="32"/>
          <w:szCs w:val="32"/>
          <w:lang w:val="en-US" w:eastAsia="zh-CN"/>
        </w:rPr>
        <w:t>李经理：0633-7925586</w:t>
      </w:r>
    </w:p>
    <w:p w14:paraId="5A6ACA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循环宝客服热线：021-96169转5</w:t>
      </w:r>
    </w:p>
    <w:p w14:paraId="28424395">
      <w:pPr>
        <w:pStyle w:val="2"/>
        <w:pageBreakBefore w:val="0"/>
        <w:kinsoku/>
        <w:wordWrap/>
        <w:overflowPunct/>
        <w:topLinePunct w:val="0"/>
        <w:autoSpaceDE/>
        <w:autoSpaceDN/>
        <w:bidi w:val="0"/>
        <w:adjustRightInd/>
        <w:snapToGrid/>
        <w:spacing w:line="560" w:lineRule="exact"/>
      </w:pPr>
      <w:r>
        <w:rPr>
          <w:rFonts w:hint="eastAsia"/>
        </w:rPr>
        <w:t>本次公告发布范围</w:t>
      </w:r>
    </w:p>
    <w:p w14:paraId="7EB8859E">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宋体" w:eastAsia="仿宋_GB2312" w:cs="仿宋_GB2312"/>
          <w:color w:val="000000"/>
          <w:spacing w:val="-6"/>
          <w:kern w:val="0"/>
          <w:sz w:val="32"/>
          <w:szCs w:val="32"/>
        </w:rPr>
      </w:pPr>
      <w:r>
        <w:rPr>
          <w:rFonts w:hint="eastAsia" w:ascii="仿宋_GB2312" w:hAnsi="宋体" w:eastAsia="仿宋_GB2312" w:cs="仿宋_GB2312"/>
          <w:spacing w:val="-6"/>
          <w:kern w:val="0"/>
          <w:sz w:val="32"/>
          <w:szCs w:val="32"/>
          <w:lang w:val="en-US" w:eastAsia="zh-CN"/>
        </w:rPr>
        <w:t>循环宝</w:t>
      </w:r>
      <w:r>
        <w:rPr>
          <w:rFonts w:hint="eastAsia" w:ascii="仿宋_GB2312" w:hAnsi="宋体" w:eastAsia="仿宋_GB2312" w:cs="仿宋_GB2312"/>
          <w:color w:val="000000"/>
          <w:spacing w:val="-6"/>
          <w:kern w:val="0"/>
          <w:sz w:val="32"/>
          <w:szCs w:val="32"/>
        </w:rPr>
        <w:fldChar w:fldCharType="begin"/>
      </w:r>
      <w:r>
        <w:rPr>
          <w:rFonts w:hint="eastAsia" w:ascii="仿宋_GB2312" w:hAnsi="宋体" w:eastAsia="仿宋_GB2312" w:cs="仿宋_GB2312"/>
          <w:color w:val="000000"/>
          <w:spacing w:val="-6"/>
          <w:kern w:val="0"/>
          <w:sz w:val="32"/>
          <w:szCs w:val="32"/>
        </w:rPr>
        <w:instrText xml:space="preserve"> HYPERLINK "https://www.ouyeel.com/search-ng/exchange/home" </w:instrText>
      </w:r>
      <w:r>
        <w:rPr>
          <w:rFonts w:hint="eastAsia" w:ascii="仿宋_GB2312" w:hAnsi="宋体" w:eastAsia="仿宋_GB2312" w:cs="仿宋_GB2312"/>
          <w:color w:val="000000"/>
          <w:spacing w:val="-6"/>
          <w:kern w:val="0"/>
          <w:sz w:val="32"/>
          <w:szCs w:val="32"/>
        </w:rPr>
        <w:fldChar w:fldCharType="separate"/>
      </w:r>
      <w:r>
        <w:rPr>
          <w:rStyle w:val="21"/>
          <w:rFonts w:hint="eastAsia" w:ascii="仿宋_GB2312" w:hAnsi="宋体" w:eastAsia="仿宋_GB2312" w:cs="仿宋_GB2312"/>
          <w:spacing w:val="-6"/>
          <w:kern w:val="0"/>
          <w:sz w:val="32"/>
          <w:szCs w:val="32"/>
        </w:rPr>
        <w:t>https://www.ouyeel.com/search-ng/exchange/home</w:t>
      </w:r>
      <w:r>
        <w:rPr>
          <w:rFonts w:hint="eastAsia" w:ascii="仿宋_GB2312" w:hAnsi="宋体" w:eastAsia="仿宋_GB2312" w:cs="仿宋_GB2312"/>
          <w:color w:val="000000"/>
          <w:spacing w:val="-6"/>
          <w:kern w:val="0"/>
          <w:sz w:val="32"/>
          <w:szCs w:val="32"/>
        </w:rPr>
        <w:fldChar w:fldCharType="end"/>
      </w:r>
    </w:p>
    <w:p w14:paraId="3415F0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24"/>
          <w:szCs w:val="24"/>
          <w:highlight w:val="none"/>
          <w:lang w:val="en-US" w:eastAsia="zh-CN"/>
        </w:rPr>
      </w:pPr>
      <w:r>
        <w:rPr>
          <w:rFonts w:hint="eastAsia" w:ascii="仿宋_GB2312" w:hAnsi="宋体" w:eastAsia="仿宋_GB2312" w:cs="仿宋_GB2312"/>
          <w:kern w:val="0"/>
          <w:sz w:val="32"/>
          <w:szCs w:val="32"/>
          <w:highlight w:val="none"/>
          <w:lang w:val="en-US" w:eastAsia="zh-CN"/>
        </w:rPr>
        <w:t>山钢招标采购平台</w:t>
      </w:r>
      <w:r>
        <w:rPr>
          <w:rFonts w:hint="eastAsia" w:ascii="仿宋_GB2312" w:hAnsi="宋体" w:eastAsia="仿宋_GB2312" w:cs="仿宋_GB2312"/>
          <w:kern w:val="0"/>
          <w:sz w:val="24"/>
          <w:szCs w:val="24"/>
          <w:highlight w:val="none"/>
          <w:lang w:val="en-US" w:eastAsia="zh-CN"/>
        </w:rPr>
        <w:fldChar w:fldCharType="begin"/>
      </w:r>
      <w:r>
        <w:rPr>
          <w:rFonts w:hint="eastAsia" w:ascii="仿宋_GB2312" w:hAnsi="宋体" w:eastAsia="仿宋_GB2312" w:cs="仿宋_GB2312"/>
          <w:kern w:val="0"/>
          <w:sz w:val="24"/>
          <w:szCs w:val="24"/>
          <w:highlight w:val="none"/>
          <w:lang w:val="en-US" w:eastAsia="zh-CN"/>
        </w:rPr>
        <w:instrText xml:space="preserve"> HYPERLINK "http://bams.shansteelgroup.com/Suppliers/Default.aspx" </w:instrText>
      </w:r>
      <w:r>
        <w:rPr>
          <w:rFonts w:hint="eastAsia" w:ascii="仿宋_GB2312" w:hAnsi="宋体" w:eastAsia="仿宋_GB2312" w:cs="仿宋_GB2312"/>
          <w:kern w:val="0"/>
          <w:sz w:val="24"/>
          <w:szCs w:val="24"/>
          <w:highlight w:val="none"/>
          <w:lang w:val="en-US" w:eastAsia="zh-CN"/>
        </w:rPr>
        <w:fldChar w:fldCharType="separate"/>
      </w:r>
      <w:r>
        <w:rPr>
          <w:rFonts w:hint="eastAsia" w:ascii="仿宋_GB2312" w:hAnsi="宋体" w:eastAsia="仿宋_GB2312" w:cs="仿宋_GB2312"/>
          <w:kern w:val="0"/>
          <w:sz w:val="24"/>
          <w:szCs w:val="24"/>
          <w:highlight w:val="none"/>
          <w:lang w:val="en-US" w:eastAsia="zh-CN"/>
        </w:rPr>
        <w:t>https://bams.shansteelgroup.com/Suppliers/Default.aspx</w:t>
      </w:r>
      <w:r>
        <w:rPr>
          <w:rFonts w:hint="eastAsia" w:ascii="仿宋_GB2312" w:hAnsi="宋体" w:eastAsia="仿宋_GB2312" w:cs="仿宋_GB2312"/>
          <w:kern w:val="0"/>
          <w:sz w:val="24"/>
          <w:szCs w:val="24"/>
          <w:highlight w:val="none"/>
          <w:lang w:val="en-US" w:eastAsia="zh-CN"/>
        </w:rPr>
        <w:fldChar w:fldCharType="end"/>
      </w:r>
    </w:p>
    <w:p w14:paraId="0639217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宋体" w:eastAsia="仿宋_GB2312" w:cs="仿宋_GB2312"/>
          <w:kern w:val="0"/>
          <w:sz w:val="24"/>
          <w:szCs w:val="24"/>
          <w:highlight w:val="none"/>
          <w:lang w:val="en-US" w:eastAsia="zh-CN"/>
        </w:rPr>
      </w:pPr>
    </w:p>
    <w:p w14:paraId="6CA9FB5A">
      <w:pPr>
        <w:keepNext w:val="0"/>
        <w:keepLines w:val="0"/>
        <w:pageBreakBefore w:val="0"/>
        <w:widowControl w:val="0"/>
        <w:kinsoku/>
        <w:wordWrap/>
        <w:overflowPunct/>
        <w:topLinePunct w:val="0"/>
        <w:autoSpaceDE/>
        <w:autoSpaceDN/>
        <w:bidi w:val="0"/>
        <w:adjustRightInd/>
        <w:snapToGrid/>
        <w:spacing w:line="560" w:lineRule="exact"/>
        <w:ind w:left="0" w:leftChars="0" w:right="160" w:firstLine="640" w:firstLineChars="200"/>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附件：1.各账户信息</w:t>
      </w:r>
    </w:p>
    <w:p w14:paraId="2ABDDA68">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2.预约进厂方法及地点</w:t>
      </w:r>
    </w:p>
    <w:p w14:paraId="11C16A90">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3.合同附件使用说明</w:t>
      </w:r>
    </w:p>
    <w:p w14:paraId="51E3AE36">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4.山钢招标采购平台网上上传资质与报价流程</w:t>
      </w:r>
    </w:p>
    <w:p w14:paraId="1F032391">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5.承诺函（反向竞价方式）</w:t>
      </w:r>
    </w:p>
    <w:p w14:paraId="6E6A9B95">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6.承诺函（公开增价方式）</w:t>
      </w:r>
    </w:p>
    <w:p w14:paraId="38AA2775">
      <w:pPr>
        <w:keepNext w:val="0"/>
        <w:keepLines w:val="0"/>
        <w:pageBreakBefore w:val="0"/>
        <w:widowControl w:val="0"/>
        <w:kinsoku/>
        <w:wordWrap/>
        <w:overflowPunct/>
        <w:topLinePunct w:val="0"/>
        <w:autoSpaceDE/>
        <w:autoSpaceDN/>
        <w:bidi w:val="0"/>
        <w:adjustRightInd/>
        <w:snapToGrid/>
        <w:spacing w:line="560" w:lineRule="exact"/>
        <w:ind w:left="0" w:leftChars="0" w:right="160" w:firstLine="1619" w:firstLineChars="506"/>
        <w:jc w:val="both"/>
        <w:textAlignment w:val="auto"/>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7.廉洁诚信协议</w:t>
      </w:r>
    </w:p>
    <w:p w14:paraId="4BEA958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kern w:val="0"/>
          <w:sz w:val="24"/>
          <w:szCs w:val="24"/>
          <w:highlight w:val="none"/>
          <w:lang w:val="en-US" w:eastAsia="zh-CN"/>
        </w:rPr>
      </w:pPr>
    </w:p>
    <w:p w14:paraId="00ABF587">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rPr>
      </w:pPr>
    </w:p>
    <w:p w14:paraId="77265EFA">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山钢集团日照有限公司</w:t>
      </w:r>
    </w:p>
    <w:p w14:paraId="26E11AF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eastAsia="zh-CN"/>
        </w:rPr>
        <w:t>202</w:t>
      </w:r>
      <w:r>
        <w:rPr>
          <w:rFonts w:hint="eastAsia" w:ascii="仿宋_GB2312" w:hAnsi="宋体" w:eastAsia="仿宋_GB2312" w:cs="仿宋_GB2312"/>
          <w:kern w:val="0"/>
          <w:sz w:val="32"/>
          <w:szCs w:val="32"/>
          <w:highlight w:val="none"/>
          <w:lang w:val="en-US" w:eastAsia="zh-CN"/>
        </w:rPr>
        <w:t>6</w:t>
      </w:r>
      <w:r>
        <w:rPr>
          <w:rFonts w:hint="eastAsia" w:ascii="仿宋_GB2312" w:hAnsi="宋体" w:eastAsia="仿宋_GB2312" w:cs="仿宋_GB2312"/>
          <w:kern w:val="0"/>
          <w:sz w:val="32"/>
          <w:szCs w:val="32"/>
          <w:highlight w:val="none"/>
        </w:rPr>
        <w:t>年</w:t>
      </w:r>
      <w:r>
        <w:rPr>
          <w:rFonts w:hint="eastAsia" w:ascii="仿宋_GB2312" w:hAnsi="宋体" w:eastAsia="仿宋_GB2312" w:cs="仿宋_GB2312"/>
          <w:kern w:val="0"/>
          <w:sz w:val="32"/>
          <w:szCs w:val="32"/>
          <w:highlight w:val="none"/>
          <w:lang w:val="en-US" w:eastAsia="zh-CN"/>
        </w:rPr>
        <w:t>9</w:t>
      </w:r>
      <w:r>
        <w:rPr>
          <w:rFonts w:hint="eastAsia" w:ascii="仿宋_GB2312" w:hAnsi="宋体" w:eastAsia="仿宋_GB2312" w:cs="仿宋_GB2312"/>
          <w:kern w:val="0"/>
          <w:sz w:val="32"/>
          <w:szCs w:val="32"/>
          <w:highlight w:val="none"/>
        </w:rPr>
        <w:t>月</w:t>
      </w:r>
      <w:r>
        <w:rPr>
          <w:rFonts w:hint="eastAsia" w:ascii="仿宋_GB2312" w:hAnsi="宋体" w:eastAsia="仿宋_GB2312" w:cs="仿宋_GB2312"/>
          <w:kern w:val="0"/>
          <w:sz w:val="32"/>
          <w:szCs w:val="32"/>
          <w:highlight w:val="none"/>
          <w:lang w:val="en-US" w:eastAsia="zh-CN"/>
        </w:rPr>
        <w:t>4</w:t>
      </w:r>
      <w:r>
        <w:rPr>
          <w:rFonts w:hint="eastAsia" w:ascii="仿宋_GB2312" w:hAnsi="宋体" w:eastAsia="仿宋_GB2312" w:cs="仿宋_GB2312"/>
          <w:kern w:val="0"/>
          <w:sz w:val="32"/>
          <w:szCs w:val="32"/>
          <w:highlight w:val="none"/>
        </w:rPr>
        <w:t>日</w:t>
      </w:r>
    </w:p>
    <w:p w14:paraId="054BC70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1E961593">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sectPr>
          <w:headerReference r:id="rId3" w:type="default"/>
          <w:footerReference r:id="rId4" w:type="default"/>
          <w:type w:val="continuous"/>
          <w:pgSz w:w="11906" w:h="16838"/>
          <w:pgMar w:top="720" w:right="720" w:bottom="720" w:left="720" w:header="851" w:footer="992" w:gutter="0"/>
          <w:pgNumType w:fmt="decimal"/>
          <w:cols w:space="720" w:num="1"/>
          <w:docGrid w:type="lines" w:linePitch="312" w:charSpace="0"/>
        </w:sectPr>
      </w:pPr>
    </w:p>
    <w:p w14:paraId="1021DEC2">
      <w:pPr>
        <w:pStyle w:val="28"/>
        <w:bidi w:val="0"/>
        <w:ind w:left="0" w:leftChars="0" w:firstLine="420" w:firstLineChars="0"/>
        <w:rPr>
          <w:rFonts w:hint="default"/>
          <w:lang w:val="en-US" w:eastAsia="zh-CN"/>
        </w:rPr>
      </w:pPr>
      <w:bookmarkStart w:id="1" w:name="_Ref12228"/>
      <w:r>
        <w:rPr>
          <w:rFonts w:hint="default"/>
          <w:lang w:val="en-US" w:eastAsia="zh-CN"/>
        </w:rPr>
        <w:t>各</w:t>
      </w:r>
      <w:r>
        <w:rPr>
          <w:rFonts w:hint="eastAsia"/>
          <w:lang w:val="en-US" w:eastAsia="zh-CN"/>
        </w:rPr>
        <w:t>账户信息</w:t>
      </w:r>
    </w:p>
    <w:p w14:paraId="283DE28E">
      <w:pPr>
        <w:rPr>
          <w:rFonts w:hint="default"/>
          <w:lang w:val="en-US" w:eastAsia="zh-CN"/>
        </w:rPr>
      </w:pPr>
    </w:p>
    <w:p w14:paraId="551C5A5D">
      <w:pPr>
        <w:pStyle w:val="3"/>
        <w:bidi w:val="0"/>
        <w:rPr>
          <w:rFonts w:hint="eastAsia"/>
          <w:lang w:val="en-US" w:eastAsia="zh-CN"/>
        </w:rPr>
      </w:pPr>
      <w:r>
        <w:rPr>
          <w:rFonts w:hint="eastAsia"/>
          <w:lang w:val="en-US" w:eastAsia="zh-CN"/>
        </w:rPr>
        <w:t>公开增价（买方付款）模式下的预付订金及货款账户信息：</w:t>
      </w:r>
    </w:p>
    <w:p w14:paraId="0ECC9E3E">
      <w:pPr>
        <w:widowControl/>
        <w:spacing w:before="0" w:beforeAutospacing="0" w:after="0" w:afterAutospacing="0" w:line="560" w:lineRule="atLeast"/>
        <w:jc w:val="left"/>
        <w:rPr>
          <w:rFonts w:hint="eastAsia" w:asciiTheme="minorEastAsia" w:hAnsiTheme="minorEastAsia" w:eastAsiaTheme="minorEastAsia" w:cstheme="minorEastAsia"/>
          <w:kern w:val="0"/>
          <w:sz w:val="28"/>
          <w:szCs w:val="28"/>
          <w:lang w:val="en-US" w:eastAsia="zh-CN" w:bidi="ar-SA"/>
        </w:rPr>
      </w:pPr>
      <w:r>
        <w:rPr>
          <w:rFonts w:hint="eastAsia" w:asciiTheme="minorEastAsia" w:hAnsiTheme="minorEastAsia" w:eastAsiaTheme="minorEastAsia" w:cstheme="minorEastAsia"/>
          <w:kern w:val="0"/>
          <w:sz w:val="28"/>
          <w:szCs w:val="28"/>
          <w:lang w:val="en-US" w:eastAsia="zh-CN" w:bidi="ar-SA"/>
        </w:rPr>
        <w:t>账户名称：山东钢铁集团日照有限公司</w:t>
      </w:r>
    </w:p>
    <w:p w14:paraId="02176F45">
      <w:pPr>
        <w:widowControl/>
        <w:spacing w:before="0" w:beforeAutospacing="0" w:after="0" w:afterAutospacing="0" w:line="560" w:lineRule="atLeast"/>
        <w:jc w:val="left"/>
        <w:rPr>
          <w:rFonts w:hint="eastAsia" w:asciiTheme="minorEastAsia" w:hAnsiTheme="minorEastAsia" w:eastAsiaTheme="minorEastAsia" w:cstheme="minorEastAsia"/>
          <w:kern w:val="0"/>
          <w:sz w:val="28"/>
          <w:szCs w:val="28"/>
          <w:lang w:val="en-US" w:eastAsia="zh-CN" w:bidi="ar-SA"/>
        </w:rPr>
      </w:pPr>
      <w:r>
        <w:rPr>
          <w:rFonts w:hint="eastAsia" w:asciiTheme="minorEastAsia" w:hAnsiTheme="minorEastAsia" w:eastAsiaTheme="minorEastAsia" w:cstheme="minorEastAsia"/>
          <w:kern w:val="0"/>
          <w:sz w:val="28"/>
          <w:szCs w:val="28"/>
          <w:lang w:val="en-US" w:eastAsia="zh-CN" w:bidi="ar-SA"/>
        </w:rPr>
        <w:t>开户行：</w:t>
      </w:r>
      <w:r>
        <w:rPr>
          <w:rFonts w:hint="default" w:asciiTheme="minorEastAsia" w:hAnsiTheme="minorEastAsia" w:eastAsiaTheme="minorEastAsia" w:cstheme="minorEastAsia"/>
          <w:kern w:val="0"/>
          <w:sz w:val="28"/>
          <w:szCs w:val="28"/>
          <w:lang w:val="en-US" w:eastAsia="zh-CN" w:bidi="ar-SA"/>
        </w:rPr>
        <w:t>中国农业银行日照岚山支行</w:t>
      </w:r>
    </w:p>
    <w:p w14:paraId="697D58E8">
      <w:pPr>
        <w:widowControl/>
        <w:spacing w:before="0" w:beforeAutospacing="0" w:after="0" w:afterAutospacing="0" w:line="560" w:lineRule="atLeast"/>
        <w:jc w:val="left"/>
        <w:rPr>
          <w:rFonts w:hint="eastAsia" w:asciiTheme="minorEastAsia" w:hAnsiTheme="minorEastAsia" w:eastAsiaTheme="minorEastAsia" w:cstheme="minorEastAsia"/>
          <w:kern w:val="0"/>
          <w:sz w:val="28"/>
          <w:szCs w:val="28"/>
          <w:lang w:val="en-US" w:eastAsia="zh-CN" w:bidi="ar-SA"/>
        </w:rPr>
      </w:pPr>
      <w:r>
        <w:rPr>
          <w:rFonts w:hint="eastAsia" w:asciiTheme="minorEastAsia" w:hAnsiTheme="minorEastAsia" w:eastAsiaTheme="minorEastAsia" w:cstheme="minorEastAsia"/>
          <w:kern w:val="0"/>
          <w:sz w:val="28"/>
          <w:szCs w:val="28"/>
          <w:lang w:val="en-US" w:eastAsia="zh-CN" w:bidi="ar-SA"/>
        </w:rPr>
        <w:t>账号：</w:t>
      </w:r>
      <w:r>
        <w:rPr>
          <w:rFonts w:hint="default" w:asciiTheme="minorEastAsia" w:hAnsiTheme="minorEastAsia" w:eastAsiaTheme="minorEastAsia" w:cstheme="minorEastAsia"/>
          <w:kern w:val="0"/>
          <w:sz w:val="28"/>
          <w:szCs w:val="28"/>
          <w:lang w:val="en-US" w:eastAsia="zh-CN" w:bidi="ar-SA"/>
        </w:rPr>
        <w:t>15641101040014582</w:t>
      </w:r>
    </w:p>
    <w:p w14:paraId="0B339CB9">
      <w:pPr>
        <w:widowControl/>
        <w:spacing w:before="0" w:beforeAutospacing="0" w:after="0" w:afterAutospacing="0" w:line="560" w:lineRule="atLeast"/>
        <w:jc w:val="left"/>
        <w:rPr>
          <w:rFonts w:hint="eastAsia" w:asciiTheme="minorEastAsia" w:hAnsiTheme="minorEastAsia" w:eastAsiaTheme="minorEastAsia" w:cstheme="minorEastAsia"/>
          <w:kern w:val="0"/>
          <w:sz w:val="28"/>
          <w:szCs w:val="28"/>
          <w:lang w:val="en-US" w:eastAsia="zh-CN" w:bidi="ar-SA"/>
        </w:rPr>
      </w:pPr>
      <w:r>
        <w:rPr>
          <w:rFonts w:hint="eastAsia" w:asciiTheme="minorEastAsia" w:hAnsiTheme="minorEastAsia" w:eastAsiaTheme="minorEastAsia" w:cstheme="minorEastAsia"/>
          <w:kern w:val="0"/>
          <w:sz w:val="28"/>
          <w:szCs w:val="28"/>
          <w:lang w:val="en-US" w:eastAsia="zh-CN" w:bidi="ar-SA"/>
        </w:rPr>
        <w:t>开户行编号：</w:t>
      </w:r>
      <w:r>
        <w:rPr>
          <w:rFonts w:hint="default" w:asciiTheme="minorEastAsia" w:hAnsiTheme="minorEastAsia" w:eastAsiaTheme="minorEastAsia" w:cstheme="minorEastAsia"/>
          <w:kern w:val="0"/>
          <w:sz w:val="28"/>
          <w:szCs w:val="28"/>
          <w:lang w:val="en-US" w:eastAsia="zh-CN" w:bidi="ar-SA"/>
        </w:rPr>
        <w:t>103473264114</w:t>
      </w:r>
    </w:p>
    <w:p w14:paraId="2ABE7AE3">
      <w:pPr>
        <w:pStyle w:val="3"/>
        <w:bidi w:val="0"/>
        <w:ind w:left="0" w:firstLine="0"/>
        <w:rPr>
          <w:rFonts w:hint="eastAsia" w:asciiTheme="minorEastAsia" w:hAnsiTheme="minorEastAsia" w:eastAsiaTheme="minorEastAsia" w:cstheme="minorEastAsia"/>
          <w:color w:val="000000"/>
          <w:kern w:val="0"/>
          <w:sz w:val="28"/>
          <w:szCs w:val="28"/>
          <w:lang w:val="en-US" w:eastAsia="zh-CN" w:bidi="ar-SA"/>
        </w:rPr>
      </w:pPr>
      <w:r>
        <w:rPr>
          <w:rFonts w:hint="eastAsia"/>
          <w:lang w:val="en-US" w:eastAsia="zh-CN"/>
        </w:rPr>
        <w:t>反向竞价（卖方付款）模式下的履约保障金及账户信息：</w:t>
      </w:r>
    </w:p>
    <w:p w14:paraId="751E68DF">
      <w:pPr>
        <w:pStyle w:val="4"/>
        <w:bidi w:val="0"/>
        <w:rPr>
          <w:rFonts w:hint="eastAsia"/>
          <w:lang w:val="en-US" w:eastAsia="zh-CN"/>
        </w:rPr>
      </w:pPr>
      <w:r>
        <w:rPr>
          <w:rFonts w:hint="eastAsia"/>
          <w:lang w:val="en-US" w:eastAsia="zh-CN"/>
        </w:rPr>
        <w:t>履约保证金账户：</w:t>
      </w:r>
    </w:p>
    <w:p w14:paraId="284442B5">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开户银行：中国农业银行日照分行</w:t>
      </w:r>
    </w:p>
    <w:p w14:paraId="2966F2D1">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收款人：山东钢铁集团日照有限公司</w:t>
      </w:r>
    </w:p>
    <w:p w14:paraId="7DF446AE">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账号：15651001040040990</w:t>
      </w:r>
    </w:p>
    <w:p w14:paraId="619201E4">
      <w:pPr>
        <w:pStyle w:val="4"/>
        <w:bidi w:val="0"/>
        <w:rPr>
          <w:rFonts w:hint="eastAsia"/>
          <w:lang w:val="en-US" w:eastAsia="zh-CN"/>
        </w:rPr>
      </w:pPr>
      <w:r>
        <w:rPr>
          <w:rFonts w:hint="eastAsia"/>
          <w:lang w:val="en-US" w:eastAsia="zh-CN"/>
        </w:rPr>
        <w:t>开票信息：</w:t>
      </w:r>
    </w:p>
    <w:p w14:paraId="3796F498">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企业名称：山东钢铁集团日照有限公司</w:t>
      </w:r>
    </w:p>
    <w:p w14:paraId="0C0A6D2F">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纳税人识别号：91370000685900369J</w:t>
      </w:r>
    </w:p>
    <w:p w14:paraId="24CA11E7">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地址、电话：山东省日照市东港区临钢路1号；0633-7920226</w:t>
      </w:r>
    </w:p>
    <w:p w14:paraId="452B1C8A">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shd w:val="clear" w:color="auto" w:fill="FFFFFF"/>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开户行及账号：中国建设银行股份有限公司日照分行营业部</w:t>
      </w:r>
    </w:p>
    <w:p w14:paraId="100EA1ED">
      <w:pPr>
        <w:widowControl/>
        <w:spacing w:before="0" w:beforeAutospacing="0" w:after="0" w:afterAutospacing="0" w:line="560" w:lineRule="atLeast"/>
        <w:jc w:val="left"/>
        <w:rPr>
          <w:rFonts w:hint="eastAsia" w:asciiTheme="minorEastAsia" w:hAnsiTheme="minorEastAsia" w:eastAsiaTheme="minorEastAsia" w:cstheme="minorEastAsia"/>
          <w:color w:val="000000"/>
          <w:kern w:val="0"/>
          <w:sz w:val="28"/>
          <w:szCs w:val="28"/>
          <w:lang w:val="en-US" w:eastAsia="zh-CN" w:bidi="ar-SA"/>
        </w:rPr>
      </w:pPr>
      <w:r>
        <w:rPr>
          <w:rFonts w:hint="eastAsia" w:asciiTheme="minorEastAsia" w:hAnsiTheme="minorEastAsia" w:eastAsiaTheme="minorEastAsia" w:cstheme="minorEastAsia"/>
          <w:color w:val="000000"/>
          <w:kern w:val="0"/>
          <w:sz w:val="28"/>
          <w:szCs w:val="28"/>
          <w:shd w:val="clear" w:color="auto" w:fill="FFFFFF"/>
          <w:lang w:val="en-US" w:eastAsia="zh-CN" w:bidi="ar-SA"/>
        </w:rPr>
        <w:t>账号：37001718808059677777</w:t>
      </w:r>
    </w:p>
    <w:p w14:paraId="0D658C5A">
      <w:pPr>
        <w:keepNext w:val="0"/>
        <w:keepLines w:val="0"/>
        <w:pageBreakBefore w:val="0"/>
        <w:widowControl w:val="0"/>
        <w:kinsoku/>
        <w:wordWrap/>
        <w:overflowPunct/>
        <w:topLinePunct w:val="0"/>
        <w:autoSpaceDE/>
        <w:autoSpaceDN/>
        <w:bidi w:val="0"/>
        <w:adjustRightInd/>
        <w:spacing w:line="520" w:lineRule="exact"/>
        <w:textAlignment w:val="auto"/>
        <w:rPr>
          <w:rFonts w:hint="default" w:ascii="仿宋_GB2312" w:hAnsi="宋体" w:eastAsia="仿宋_GB2312" w:cs="仿宋_GB2312"/>
          <w:color w:val="auto"/>
          <w:kern w:val="0"/>
          <w:sz w:val="32"/>
          <w:szCs w:val="32"/>
          <w:lang w:val="en-US" w:eastAsia="zh-CN"/>
        </w:rPr>
      </w:pPr>
    </w:p>
    <w:p w14:paraId="13E95848">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仿宋_GB2312" w:hAnsi="宋体" w:eastAsia="仿宋_GB2312" w:cs="仿宋_GB2312"/>
          <w:color w:val="auto"/>
          <w:kern w:val="0"/>
          <w:sz w:val="32"/>
          <w:szCs w:val="32"/>
          <w:lang w:val="en-US" w:eastAsia="zh-CN"/>
        </w:rPr>
      </w:pPr>
    </w:p>
    <w:p w14:paraId="5A00F194">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仿宋_GB2312" w:hAnsi="宋体" w:eastAsia="仿宋_GB2312" w:cs="仿宋_GB2312"/>
          <w:color w:val="auto"/>
          <w:kern w:val="0"/>
          <w:sz w:val="32"/>
          <w:szCs w:val="32"/>
          <w:lang w:val="en-US" w:eastAsia="zh-CN"/>
        </w:rPr>
        <w:sectPr>
          <w:headerReference r:id="rId5" w:type="default"/>
          <w:pgSz w:w="11906" w:h="16838"/>
          <w:pgMar w:top="720" w:right="720" w:bottom="720" w:left="720" w:header="851" w:footer="992" w:gutter="0"/>
          <w:pgNumType w:fmt="decimal"/>
          <w:cols w:space="720" w:num="1"/>
          <w:docGrid w:type="lines" w:linePitch="312" w:charSpace="0"/>
        </w:sectPr>
      </w:pPr>
    </w:p>
    <w:p w14:paraId="607083F8">
      <w:pPr>
        <w:pStyle w:val="28"/>
        <w:bidi w:val="0"/>
        <w:ind w:left="0" w:leftChars="0" w:firstLine="420" w:firstLineChars="0"/>
        <w:rPr>
          <w:rFonts w:hint="default"/>
          <w:lang w:val="en-US" w:eastAsia="zh-CN"/>
        </w:rPr>
      </w:pPr>
      <w:bookmarkStart w:id="2" w:name="_Ref16409"/>
      <w:r>
        <w:rPr>
          <w:rFonts w:hint="eastAsia"/>
          <w:lang w:val="en-US" w:eastAsia="zh-CN"/>
        </w:rPr>
        <w:t>预约进厂方法及地点</w:t>
      </w:r>
      <w:bookmarkEnd w:id="1"/>
      <w:bookmarkEnd w:id="2"/>
    </w:p>
    <w:p w14:paraId="319D9CCB">
      <w:pPr>
        <w:keepNext/>
        <w:keepLines/>
        <w:widowControl/>
        <w:numPr>
          <w:ilvl w:val="1"/>
          <w:numId w:val="10"/>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r>
        <w:rPr>
          <w:rFonts w:hint="eastAsia" w:ascii="Arial" w:hAnsi="Arial" w:cs="宋体"/>
          <w:sz w:val="28"/>
          <w:szCs w:val="22"/>
          <w:lang w:val="en-US" w:eastAsia="zh-CN" w:bidi="ar-SA"/>
        </w:rPr>
        <w:t>流程更新，请联系业务主管魏经理，电话：0633-7925565；或李经理，电话0633-7925586</w:t>
      </w:r>
    </w:p>
    <w:p w14:paraId="264A643B">
      <w:pPr>
        <w:keepNext/>
        <w:keepLines/>
        <w:widowControl/>
        <w:numPr>
          <w:ilvl w:val="1"/>
          <w:numId w:val="10"/>
        </w:numPr>
        <w:autoSpaceDE w:val="0"/>
        <w:autoSpaceDN w:val="0"/>
        <w:bidi w:val="0"/>
        <w:adjustRightInd w:val="0"/>
        <w:spacing w:beforeAutospacing="0" w:afterAutospacing="0" w:line="360" w:lineRule="auto"/>
        <w:ind w:left="0" w:firstLine="0"/>
        <w:outlineLvl w:val="1"/>
        <w:rPr>
          <w:rFonts w:hint="default"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集中汇合等待位置</w:t>
      </w:r>
    </w:p>
    <w:p w14:paraId="796D368F">
      <w:pPr>
        <w:bidi w:val="0"/>
        <w:jc w:val="center"/>
        <w:rPr>
          <w:rFonts w:hint="default" w:ascii="宋体" w:hAnsi="宋体" w:eastAsia="宋体" w:cs="宋体"/>
          <w:kern w:val="0"/>
          <w:sz w:val="28"/>
          <w:szCs w:val="22"/>
          <w:lang w:val="en-US" w:eastAsia="zh-CN"/>
        </w:rPr>
      </w:pPr>
      <w:r>
        <w:rPr>
          <w:rFonts w:hint="eastAsia"/>
          <w:lang w:val="en-US" w:eastAsia="zh-CN"/>
        </w:rPr>
        <w:drawing>
          <wp:inline distT="0" distB="0" distL="114300" distR="114300">
            <wp:extent cx="3433445" cy="4866640"/>
            <wp:effectExtent l="0" t="0" r="8255" b="10160"/>
            <wp:docPr id="1" name="图片 54" descr="f910d2660f3c68d59bfeb88cc6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4" descr="f910d2660f3c68d59bfeb88cc671900"/>
                    <pic:cNvPicPr>
                      <a:picLocks noChangeAspect="1"/>
                    </pic:cNvPicPr>
                  </pic:nvPicPr>
                  <pic:blipFill>
                    <a:blip r:embed="rId12"/>
                    <a:stretch>
                      <a:fillRect/>
                    </a:stretch>
                  </pic:blipFill>
                  <pic:spPr>
                    <a:xfrm>
                      <a:off x="0" y="0"/>
                      <a:ext cx="3433445" cy="4866640"/>
                    </a:xfrm>
                    <a:prstGeom prst="rect">
                      <a:avLst/>
                    </a:prstGeom>
                    <a:noFill/>
                    <a:ln>
                      <a:noFill/>
                    </a:ln>
                  </pic:spPr>
                </pic:pic>
              </a:graphicData>
            </a:graphic>
          </wp:inline>
        </w:drawing>
      </w:r>
    </w:p>
    <w:p w14:paraId="32DC76CC">
      <w:pPr>
        <w:bidi w:val="0"/>
        <w:jc w:val="center"/>
        <w:rPr>
          <w:rFonts w:hint="eastAsia"/>
          <w:lang w:val="en-US" w:eastAsia="zh-CN"/>
        </w:rPr>
      </w:pPr>
    </w:p>
    <w:p w14:paraId="2DA62210">
      <w:pPr>
        <w:pStyle w:val="11"/>
        <w:bidi w:val="0"/>
        <w:jc w:val="center"/>
        <w:rPr>
          <w:rFonts w:hint="default" w:eastAsia="宋体"/>
          <w:lang w:val="en-US" w:eastAsia="zh-CN"/>
        </w:rPr>
      </w:pPr>
      <w:bookmarkStart w:id="3" w:name="_Ref32430"/>
      <w:r>
        <w:t xml:space="preserve">图 </w:t>
      </w:r>
      <w:r>
        <w:fldChar w:fldCharType="begin"/>
      </w:r>
      <w:r>
        <w:instrText xml:space="preserve"> SEQ 图 \* ARABIC </w:instrText>
      </w:r>
      <w:r>
        <w:fldChar w:fldCharType="separate"/>
      </w:r>
      <w:r>
        <w:t>2</w:t>
      </w:r>
      <w:r>
        <w:fldChar w:fldCharType="end"/>
      </w:r>
      <w:r>
        <w:rPr>
          <w:rFonts w:hint="eastAsia"/>
          <w:lang w:val="en-US" w:eastAsia="zh-CN"/>
        </w:rPr>
        <w:t>集中汇合点</w:t>
      </w:r>
      <w:bookmarkEnd w:id="3"/>
    </w:p>
    <w:p w14:paraId="51F5A2A5">
      <w:pPr>
        <w:bidi w:val="0"/>
        <w:rPr>
          <w:rFonts w:hint="eastAsia"/>
          <w:lang w:val="en-US" w:eastAsia="zh-CN"/>
        </w:rPr>
      </w:pPr>
    </w:p>
    <w:p w14:paraId="4E3A4345">
      <w:pPr>
        <w:bidi w:val="0"/>
        <w:rPr>
          <w:rFonts w:hint="eastAsia"/>
          <w:lang w:val="en-US" w:eastAsia="zh-CN"/>
        </w:rPr>
      </w:pPr>
    </w:p>
    <w:p w14:paraId="6FC16FFD">
      <w:pPr>
        <w:bidi w:val="0"/>
        <w:rPr>
          <w:rFonts w:hint="eastAsia"/>
          <w:lang w:val="en-US" w:eastAsia="zh-CN"/>
        </w:rPr>
        <w:sectPr>
          <w:pgSz w:w="11906" w:h="16838"/>
          <w:pgMar w:top="720" w:right="720" w:bottom="720" w:left="720" w:header="851" w:footer="992" w:gutter="0"/>
          <w:pgNumType w:fmt="decimal"/>
          <w:cols w:space="720" w:num="1"/>
          <w:docGrid w:type="lines" w:linePitch="312" w:charSpace="0"/>
        </w:sectPr>
      </w:pPr>
    </w:p>
    <w:p w14:paraId="7103D9E6">
      <w:pPr>
        <w:pStyle w:val="28"/>
        <w:bidi w:val="0"/>
        <w:ind w:left="0" w:leftChars="0" w:firstLine="420" w:firstLineChars="0"/>
        <w:rPr>
          <w:rFonts w:hint="eastAsia"/>
          <w:lang w:val="en-US" w:eastAsia="zh-CN"/>
        </w:rPr>
      </w:pPr>
      <w:r>
        <w:rPr>
          <w:rFonts w:hint="eastAsia"/>
          <w:lang w:val="en-US" w:eastAsia="zh-CN"/>
        </w:rPr>
        <w:t>合同附件使用说明</w:t>
      </w:r>
    </w:p>
    <w:p w14:paraId="0135D0E6">
      <w:pPr>
        <w:pStyle w:val="27"/>
        <w:bidi w:val="0"/>
        <w:jc w:val="center"/>
        <w:rPr>
          <w:rFonts w:hint="eastAsia" w:ascii="黑体" w:hAnsi="黑体" w:eastAsia="黑体" w:cs="黑体"/>
          <w:lang w:val="en-US" w:eastAsia="zh-CN"/>
        </w:rPr>
      </w:pPr>
      <w:r>
        <w:rPr>
          <w:rFonts w:hint="eastAsia" w:ascii="黑体" w:hAnsi="黑体" w:eastAsia="黑体" w:cs="黑体"/>
          <w:lang w:val="en-US" w:eastAsia="zh-CN"/>
        </w:rPr>
        <w:t>使用说明</w:t>
      </w:r>
    </w:p>
    <w:p w14:paraId="3CDDBA4A">
      <w:pPr>
        <w:pStyle w:val="27"/>
        <w:numPr>
          <w:ilvl w:val="0"/>
          <w:numId w:val="11"/>
        </w:numPr>
        <w:bidi w:val="0"/>
        <w:ind w:left="425" w:leftChars="0" w:hanging="425" w:firstLineChars="0"/>
        <w:rPr>
          <w:rFonts w:hint="default" w:ascii="宋体" w:hAnsi="宋体" w:eastAsia="宋体" w:cs="宋体"/>
          <w:lang w:val="en-US" w:eastAsia="zh-CN"/>
        </w:rPr>
      </w:pPr>
      <w:r>
        <w:rPr>
          <w:rFonts w:hint="eastAsia" w:ascii="宋体" w:hAnsi="宋体" w:eastAsia="宋体" w:cs="宋体"/>
          <w:lang w:val="en-US" w:eastAsia="zh-CN"/>
        </w:rPr>
        <w:t>需要提前踏勘现场请阅知</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_Ref16409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附件2</w:t>
      </w:r>
      <w:r>
        <w:rPr>
          <w:rFonts w:hint="eastAsia" w:ascii="宋体" w:hAnsi="宋体" w:eastAsia="宋体" w:cs="宋体"/>
          <w:lang w:val="en-US" w:eastAsia="zh-CN"/>
        </w:rPr>
        <w:fldChar w:fldCharType="end"/>
      </w:r>
      <w:r>
        <w:rPr>
          <w:rFonts w:hint="eastAsia" w:ascii="宋体" w:hAnsi="宋体" w:eastAsia="宋体" w:cs="宋体"/>
          <w:lang w:val="en-US" w:eastAsia="zh-CN"/>
        </w:rPr>
        <w:t>.</w:t>
      </w:r>
    </w:p>
    <w:p w14:paraId="33B47EA1">
      <w:pPr>
        <w:pStyle w:val="27"/>
        <w:numPr>
          <w:ilvl w:val="0"/>
          <w:numId w:val="11"/>
        </w:numPr>
        <w:bidi w:val="0"/>
        <w:ind w:left="425" w:leftChars="0" w:hanging="425" w:firstLineChars="0"/>
        <w:rPr>
          <w:rFonts w:hint="default" w:ascii="宋体" w:hAnsi="宋体" w:eastAsia="宋体" w:cs="宋体"/>
          <w:lang w:val="en-US" w:eastAsia="zh-CN"/>
        </w:rPr>
      </w:pPr>
      <w:r>
        <w:rPr>
          <w:rFonts w:hint="eastAsia" w:ascii="宋体" w:hAnsi="宋体" w:eastAsia="宋体" w:cs="宋体"/>
          <w:lang w:val="en-US" w:eastAsia="zh-CN"/>
        </w:rPr>
        <w:t>需要在循环宝平台报价前，提供资质审核条件请阅知</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_Ref149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附件4</w:t>
      </w:r>
      <w:r>
        <w:rPr>
          <w:rFonts w:hint="eastAsia" w:ascii="宋体" w:hAnsi="宋体" w:eastAsia="宋体" w:cs="宋体"/>
          <w:lang w:val="en-US" w:eastAsia="zh-CN"/>
        </w:rPr>
        <w:fldChar w:fldCharType="end"/>
      </w:r>
      <w:r>
        <w:rPr>
          <w:rFonts w:hint="eastAsia" w:ascii="宋体" w:hAnsi="宋体" w:eastAsia="宋体" w:cs="宋体"/>
          <w:lang w:val="en-US" w:eastAsia="zh-CN"/>
        </w:rPr>
        <w:t>.</w:t>
      </w:r>
    </w:p>
    <w:p w14:paraId="3AE7847A">
      <w:pPr>
        <w:pStyle w:val="27"/>
        <w:numPr>
          <w:ilvl w:val="0"/>
          <w:numId w:val="11"/>
        </w:numPr>
        <w:bidi w:val="0"/>
        <w:ind w:left="425" w:leftChars="0" w:hanging="425" w:firstLineChars="0"/>
        <w:rPr>
          <w:rFonts w:hint="default" w:ascii="宋体" w:hAnsi="宋体" w:eastAsia="宋体" w:cs="宋体"/>
          <w:lang w:val="en-US" w:eastAsia="zh-CN"/>
        </w:rPr>
      </w:pPr>
      <w:r>
        <w:rPr>
          <w:rFonts w:hint="eastAsia" w:ascii="宋体" w:hAnsi="宋体" w:eastAsia="宋体" w:cs="宋体"/>
          <w:lang w:val="en-US" w:eastAsia="zh-CN"/>
        </w:rPr>
        <w:t>签署正式合同请阅知</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_Ref17623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附件5</w:t>
      </w:r>
      <w:r>
        <w:rPr>
          <w:rFonts w:hint="eastAsia" w:ascii="宋体" w:hAnsi="宋体" w:eastAsia="宋体" w:cs="宋体"/>
          <w:lang w:val="en-US" w:eastAsia="zh-CN"/>
        </w:rPr>
        <w:fldChar w:fldCharType="end"/>
      </w:r>
      <w:r>
        <w:rPr>
          <w:rFonts w:hint="eastAsia" w:ascii="宋体" w:hAnsi="宋体" w:eastAsia="宋体" w:cs="宋体"/>
          <w:lang w:val="en-US" w:eastAsia="zh-CN"/>
        </w:rPr>
        <w:t>（或</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_Ref2418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附件6</w:t>
      </w:r>
      <w:r>
        <w:rPr>
          <w:rFonts w:hint="eastAsia" w:ascii="宋体" w:hAnsi="宋体" w:eastAsia="宋体" w:cs="宋体"/>
          <w:lang w:val="en-US" w:eastAsia="zh-CN"/>
        </w:rPr>
        <w:fldChar w:fldCharType="end"/>
      </w:r>
      <w:r>
        <w:rPr>
          <w:rFonts w:hint="eastAsia" w:ascii="宋体" w:hAnsi="宋体" w:eastAsia="宋体" w:cs="宋体"/>
          <w:lang w:val="en-US" w:eastAsia="zh-CN"/>
        </w:rPr>
        <w:t>）.</w:t>
      </w:r>
    </w:p>
    <w:p w14:paraId="7941C3AF">
      <w:pPr>
        <w:pStyle w:val="27"/>
        <w:numPr>
          <w:ilvl w:val="0"/>
          <w:numId w:val="11"/>
        </w:numPr>
        <w:bidi w:val="0"/>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_Ref17623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附件5</w:t>
      </w:r>
      <w:r>
        <w:rPr>
          <w:rFonts w:hint="eastAsia" w:ascii="宋体" w:hAnsi="宋体" w:eastAsia="宋体" w:cs="宋体"/>
          <w:lang w:val="en-US" w:eastAsia="zh-CN"/>
        </w:rPr>
        <w:fldChar w:fldCharType="end"/>
      </w:r>
      <w:r>
        <w:rPr>
          <w:rFonts w:hint="eastAsia" w:ascii="宋体" w:hAnsi="宋体" w:eastAsia="宋体" w:cs="宋体"/>
          <w:lang w:val="en-US" w:eastAsia="zh-CN"/>
        </w:rPr>
        <w:t>（或</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_Ref2418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附件6</w:t>
      </w:r>
      <w:r>
        <w:rPr>
          <w:rFonts w:hint="eastAsia" w:ascii="宋体" w:hAnsi="宋体" w:eastAsia="宋体" w:cs="宋体"/>
          <w:lang w:val="en-US" w:eastAsia="zh-CN"/>
        </w:rPr>
        <w:fldChar w:fldCharType="end"/>
      </w:r>
      <w:r>
        <w:rPr>
          <w:rFonts w:hint="eastAsia" w:ascii="宋体" w:hAnsi="宋体" w:eastAsia="宋体" w:cs="宋体"/>
          <w:lang w:val="en-US" w:eastAsia="zh-CN"/>
        </w:rPr>
        <w:t>）承诺函为一合同一签；</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REF _Ref17633 \r \h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附件7</w:t>
      </w:r>
      <w:r>
        <w:rPr>
          <w:rFonts w:hint="eastAsia" w:ascii="宋体" w:hAnsi="宋体" w:eastAsia="宋体" w:cs="宋体"/>
          <w:lang w:val="en-US" w:eastAsia="zh-CN"/>
        </w:rPr>
        <w:fldChar w:fldCharType="end"/>
      </w:r>
      <w:r>
        <w:rPr>
          <w:rFonts w:hint="eastAsia" w:ascii="宋体" w:hAnsi="宋体" w:eastAsia="宋体" w:cs="宋体"/>
          <w:lang w:val="en-US" w:eastAsia="zh-CN"/>
        </w:rPr>
        <w:t>廉洁协议为一单位一签，签过不必重签.</w:t>
      </w:r>
    </w:p>
    <w:p w14:paraId="564F5B65">
      <w:pPr>
        <w:pStyle w:val="27"/>
        <w:numPr>
          <w:ilvl w:val="0"/>
          <w:numId w:val="11"/>
        </w:numPr>
        <w:bidi w:val="0"/>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打印前一般</w:t>
      </w:r>
      <w:r>
        <w:rPr>
          <w:rFonts w:hint="eastAsia" w:ascii="宋体" w:hAnsi="宋体" w:eastAsia="宋体" w:cs="宋体"/>
          <w:em w:val="dot"/>
          <w:lang w:val="en-US" w:eastAsia="zh-CN"/>
        </w:rPr>
        <w:t>不要轻易做出格式调整</w:t>
      </w:r>
      <w:r>
        <w:rPr>
          <w:rFonts w:hint="eastAsia" w:ascii="宋体" w:hAnsi="宋体" w:eastAsia="宋体" w:cs="宋体"/>
          <w:lang w:val="en-US" w:eastAsia="zh-CN"/>
        </w:rPr>
        <w:t>，文档都经过精调，多余调整可能会错位.</w:t>
      </w:r>
    </w:p>
    <w:p w14:paraId="35FF06A0">
      <w:pPr>
        <w:pStyle w:val="27"/>
        <w:numPr>
          <w:ilvl w:val="0"/>
          <w:numId w:val="11"/>
        </w:numPr>
        <w:bidi w:val="0"/>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合同以及其他必须得合同附件等各个文件，足份打印、足份签字盖章；签字盖章的地方有重点强调。签字与盖章不要省、不要错位.</w:t>
      </w:r>
    </w:p>
    <w:p w14:paraId="79353482">
      <w:pPr>
        <w:pStyle w:val="27"/>
        <w:numPr>
          <w:ilvl w:val="0"/>
          <w:numId w:val="11"/>
        </w:numPr>
        <w:bidi w:val="0"/>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注意行政公章与合同公章应用区分.</w:t>
      </w:r>
    </w:p>
    <w:p w14:paraId="79C43B73">
      <w:pPr>
        <w:pStyle w:val="27"/>
        <w:numPr>
          <w:ilvl w:val="0"/>
          <w:numId w:val="11"/>
        </w:numPr>
        <w:bidi w:val="0"/>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若邮寄请邮寄至地址：山东省日照市山东钢铁日照有限公司协同楼101室，魏经理，0633-7925565.</w:t>
      </w:r>
    </w:p>
    <w:p w14:paraId="71058F2D">
      <w:pPr>
        <w:keepNext/>
        <w:keepLines/>
        <w:widowControl w:val="0"/>
        <w:numPr>
          <w:ilvl w:val="0"/>
          <w:numId w:val="0"/>
        </w:numPr>
        <w:bidi w:val="0"/>
        <w:spacing w:beforeLines="0" w:beforeAutospacing="0" w:afterLines="0" w:afterAutospacing="0" w:line="560" w:lineRule="exact"/>
        <w:ind w:leftChars="0"/>
        <w:jc w:val="both"/>
        <w:outlineLvl w:val="0"/>
        <w:rPr>
          <w:rFonts w:hint="eastAsia" w:ascii="黑体" w:hAnsi="黑体" w:eastAsia="黑体" w:cs="Times New Roman"/>
          <w:kern w:val="44"/>
          <w:sz w:val="32"/>
          <w:szCs w:val="24"/>
          <w:lang w:val="en-US" w:eastAsia="zh-CN" w:bidi="ar-SA"/>
        </w:rPr>
        <w:sectPr>
          <w:pgSz w:w="11906" w:h="16838"/>
          <w:pgMar w:top="720" w:right="720" w:bottom="720" w:left="720" w:header="851" w:footer="992" w:gutter="0"/>
          <w:pgNumType w:fmt="decimal"/>
          <w:cols w:space="720" w:num="1"/>
          <w:docGrid w:type="lines" w:linePitch="312" w:charSpace="0"/>
        </w:sectPr>
      </w:pPr>
    </w:p>
    <w:p w14:paraId="7D3B5829">
      <w:pPr>
        <w:pStyle w:val="28"/>
        <w:bidi w:val="0"/>
        <w:ind w:left="0" w:leftChars="0" w:firstLine="420" w:firstLineChars="0"/>
        <w:rPr>
          <w:rFonts w:hint="eastAsia"/>
          <w:lang w:val="en-US" w:eastAsia="zh-CN"/>
        </w:rPr>
      </w:pPr>
      <w:bookmarkStart w:id="4" w:name="_Ref149"/>
      <w:r>
        <w:rPr>
          <w:rFonts w:hint="eastAsia"/>
          <w:lang w:val="en-US" w:eastAsia="zh-CN"/>
        </w:rPr>
        <w:t>山钢招标采购平台网上上传资质与报价流程</w:t>
      </w:r>
      <w:bookmarkEnd w:id="4"/>
    </w:p>
    <w:p w14:paraId="188CC6A7">
      <w:pPr>
        <w:numPr>
          <w:ilvl w:val="0"/>
          <w:numId w:val="12"/>
        </w:numPr>
        <w:ind w:left="0" w:leftChars="0" w:firstLine="420" w:firstLineChars="0"/>
        <w:jc w:val="center"/>
        <w:rPr>
          <w:rFonts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网上投标注册流程</w:t>
      </w:r>
    </w:p>
    <w:p w14:paraId="552AB2CF">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招标采购平台地址：</w:t>
      </w:r>
      <w:r>
        <w:rPr>
          <w:rFonts w:ascii="Times New Roman" w:hAnsi="Times New Roman" w:eastAsia="宋体" w:cs="Times New Roman"/>
          <w:b w:val="0"/>
          <w:bCs w:val="0"/>
          <w:color w:val="auto"/>
          <w:sz w:val="24"/>
          <w:szCs w:val="24"/>
        </w:rPr>
        <w:fldChar w:fldCharType="begin"/>
      </w:r>
      <w:r>
        <w:rPr>
          <w:rFonts w:ascii="Times New Roman" w:hAnsi="Times New Roman" w:eastAsia="宋体" w:cs="Times New Roman"/>
          <w:b w:val="0"/>
          <w:bCs w:val="0"/>
          <w:color w:val="auto"/>
          <w:sz w:val="24"/>
          <w:szCs w:val="24"/>
        </w:rPr>
        <w:instrText xml:space="preserve"> HYPERLINK "http://bams.shansteelgroup.com/Suppliers/Default.aspx" </w:instrText>
      </w:r>
      <w:r>
        <w:rPr>
          <w:rFonts w:ascii="Times New Roman" w:hAnsi="Times New Roman" w:eastAsia="宋体" w:cs="Times New Roman"/>
          <w:b w:val="0"/>
          <w:bCs w:val="0"/>
          <w:color w:val="auto"/>
          <w:sz w:val="24"/>
          <w:szCs w:val="24"/>
        </w:rPr>
        <w:fldChar w:fldCharType="separate"/>
      </w:r>
      <w:r>
        <w:rPr>
          <w:rFonts w:ascii="Times New Roman" w:hAnsi="Times New Roman" w:eastAsia="宋体" w:cs="Times New Roman"/>
          <w:b w:val="0"/>
          <w:bCs w:val="0"/>
          <w:color w:val="auto"/>
          <w:sz w:val="24"/>
          <w:szCs w:val="24"/>
          <w:u w:val="single"/>
        </w:rPr>
        <w:t>http</w:t>
      </w:r>
      <w:r>
        <w:rPr>
          <w:rFonts w:hint="eastAsia" w:ascii="Times New Roman" w:hAnsi="Times New Roman" w:cs="Times New Roman"/>
          <w:b w:val="0"/>
          <w:bCs w:val="0"/>
          <w:color w:val="auto"/>
          <w:sz w:val="24"/>
          <w:szCs w:val="24"/>
          <w:u w:val="single"/>
          <w:lang w:val="en-US" w:eastAsia="zh-CN"/>
        </w:rPr>
        <w:t>s</w:t>
      </w:r>
      <w:r>
        <w:rPr>
          <w:rFonts w:ascii="Times New Roman" w:hAnsi="Times New Roman" w:eastAsia="宋体" w:cs="Times New Roman"/>
          <w:b w:val="0"/>
          <w:bCs w:val="0"/>
          <w:color w:val="auto"/>
          <w:sz w:val="24"/>
          <w:szCs w:val="24"/>
          <w:u w:val="single"/>
        </w:rPr>
        <w:t>://bams.shansteelgroup.com/Suppliers/Default.aspx</w:t>
      </w:r>
      <w:r>
        <w:rPr>
          <w:rFonts w:ascii="Times New Roman" w:hAnsi="Times New Roman" w:eastAsia="宋体" w:cs="Times New Roman"/>
          <w:b w:val="0"/>
          <w:bCs w:val="0"/>
          <w:color w:val="auto"/>
          <w:sz w:val="24"/>
          <w:szCs w:val="24"/>
          <w:u w:val="single"/>
        </w:rPr>
        <w:fldChar w:fldCharType="end"/>
      </w:r>
    </w:p>
    <w:p w14:paraId="2EC5E9F4">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左侧“</w:t>
      </w:r>
      <w:r>
        <w:rPr>
          <w:rFonts w:hint="eastAsia" w:ascii="Times New Roman" w:hAnsi="Times New Roman" w:eastAsia="宋体" w:cs="Times New Roman"/>
          <w:b w:val="0"/>
          <w:bCs w:val="0"/>
          <w:color w:val="auto"/>
          <w:sz w:val="24"/>
          <w:szCs w:val="24"/>
          <w:highlight w:val="yellow"/>
        </w:rPr>
        <w:t>供应商入口</w:t>
      </w:r>
      <w:r>
        <w:rPr>
          <w:rFonts w:hint="eastAsia" w:ascii="Times New Roman" w:hAnsi="Times New Roman" w:eastAsia="宋体" w:cs="Times New Roman"/>
          <w:b w:val="0"/>
          <w:bCs w:val="0"/>
          <w:color w:val="auto"/>
          <w:sz w:val="24"/>
          <w:szCs w:val="24"/>
        </w:rPr>
        <w:t>”，点击“</w:t>
      </w:r>
      <w:r>
        <w:rPr>
          <w:rFonts w:hint="eastAsia" w:ascii="Times New Roman" w:hAnsi="Times New Roman" w:eastAsia="宋体" w:cs="Times New Roman"/>
          <w:b w:val="0"/>
          <w:bCs w:val="0"/>
          <w:color w:val="auto"/>
          <w:sz w:val="24"/>
          <w:szCs w:val="24"/>
          <w:highlight w:val="yellow"/>
        </w:rPr>
        <w:t>注册</w:t>
      </w:r>
      <w:r>
        <w:rPr>
          <w:rFonts w:hint="eastAsia" w:ascii="Times New Roman" w:hAnsi="Times New Roman" w:eastAsia="宋体" w:cs="Times New Roman"/>
          <w:b w:val="0"/>
          <w:bCs w:val="0"/>
          <w:color w:val="auto"/>
          <w:sz w:val="24"/>
          <w:szCs w:val="24"/>
        </w:rPr>
        <w:t>”</w:t>
      </w:r>
    </w:p>
    <w:p w14:paraId="3BCDDA9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385185"/>
            <wp:effectExtent l="0" t="0" r="1905" b="5715"/>
            <wp:docPr id="12" name="图片 44" descr="说明: 1513047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说明: 1513047755(1)"/>
                    <pic:cNvPicPr>
                      <a:picLocks noChangeAspect="1"/>
                    </pic:cNvPicPr>
                  </pic:nvPicPr>
                  <pic:blipFill>
                    <a:blip r:embed="rId13"/>
                    <a:stretch>
                      <a:fillRect/>
                    </a:stretch>
                  </pic:blipFill>
                  <pic:spPr>
                    <a:xfrm>
                      <a:off x="0" y="0"/>
                      <a:ext cx="5039995" cy="3385185"/>
                    </a:xfrm>
                    <a:prstGeom prst="rect">
                      <a:avLst/>
                    </a:prstGeom>
                    <a:noFill/>
                    <a:ln>
                      <a:noFill/>
                    </a:ln>
                  </pic:spPr>
                </pic:pic>
              </a:graphicData>
            </a:graphic>
          </wp:inline>
        </w:drawing>
      </w:r>
    </w:p>
    <w:p w14:paraId="10B760EA">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输入</w:t>
      </w:r>
      <w:r>
        <w:rPr>
          <w:rFonts w:hint="eastAsia" w:ascii="Times New Roman" w:hAnsi="Times New Roman" w:eastAsia="宋体" w:cs="Times New Roman"/>
          <w:b w:val="0"/>
          <w:bCs w:val="0"/>
          <w:color w:val="auto"/>
          <w:sz w:val="24"/>
          <w:szCs w:val="24"/>
          <w:highlight w:val="yellow"/>
        </w:rPr>
        <w:t>企业名称</w:t>
      </w:r>
      <w:r>
        <w:rPr>
          <w:rFonts w:hint="eastAsia" w:ascii="Times New Roman" w:hAnsi="Times New Roman" w:eastAsia="宋体" w:cs="Times New Roman"/>
          <w:b w:val="0"/>
          <w:bCs w:val="0"/>
          <w:color w:val="auto"/>
          <w:sz w:val="24"/>
          <w:szCs w:val="24"/>
        </w:rPr>
        <w:t>、设置</w:t>
      </w:r>
      <w:r>
        <w:rPr>
          <w:rFonts w:hint="eastAsia" w:ascii="Times New Roman" w:hAnsi="Times New Roman" w:eastAsia="宋体" w:cs="Times New Roman"/>
          <w:b w:val="0"/>
          <w:bCs w:val="0"/>
          <w:color w:val="auto"/>
          <w:sz w:val="24"/>
          <w:szCs w:val="24"/>
          <w:highlight w:val="yellow"/>
        </w:rPr>
        <w:t>用户名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密码</w:t>
      </w:r>
      <w:r>
        <w:rPr>
          <w:rFonts w:hint="eastAsia" w:ascii="Times New Roman" w:hAnsi="Times New Roman" w:eastAsia="宋体" w:cs="Times New Roman"/>
          <w:b w:val="0"/>
          <w:bCs w:val="0"/>
          <w:color w:val="auto"/>
          <w:sz w:val="24"/>
          <w:szCs w:val="24"/>
        </w:rPr>
        <w:t>，点击下一步</w:t>
      </w:r>
    </w:p>
    <w:p w14:paraId="5D3B9592">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035175"/>
            <wp:effectExtent l="0" t="0" r="1905" b="9525"/>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4"/>
                    <a:stretch>
                      <a:fillRect/>
                    </a:stretch>
                  </pic:blipFill>
                  <pic:spPr>
                    <a:xfrm>
                      <a:off x="0" y="0"/>
                      <a:ext cx="5039995" cy="2035175"/>
                    </a:xfrm>
                    <a:prstGeom prst="rect">
                      <a:avLst/>
                    </a:prstGeom>
                    <a:noFill/>
                    <a:ln>
                      <a:noFill/>
                    </a:ln>
                  </pic:spPr>
                </pic:pic>
              </a:graphicData>
            </a:graphic>
          </wp:inline>
        </w:drawing>
      </w:r>
    </w:p>
    <w:p w14:paraId="311276EA">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录入</w:t>
      </w:r>
      <w:r>
        <w:rPr>
          <w:rFonts w:hint="eastAsia" w:ascii="Times New Roman" w:hAnsi="Times New Roman" w:eastAsia="宋体" w:cs="Times New Roman"/>
          <w:b w:val="0"/>
          <w:bCs w:val="0"/>
          <w:color w:val="auto"/>
          <w:sz w:val="24"/>
          <w:szCs w:val="24"/>
          <w:highlight w:val="yellow"/>
        </w:rPr>
        <w:t>注册资金</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开户银行信息</w:t>
      </w:r>
      <w:r>
        <w:rPr>
          <w:rFonts w:hint="eastAsia" w:ascii="Times New Roman" w:hAnsi="Times New Roman" w:eastAsia="宋体" w:cs="Times New Roman"/>
          <w:b w:val="0"/>
          <w:bCs w:val="0"/>
          <w:color w:val="auto"/>
          <w:sz w:val="24"/>
          <w:szCs w:val="24"/>
        </w:rPr>
        <w:t>，此页面除邮政编码外需要全部填写</w:t>
      </w:r>
    </w:p>
    <w:p w14:paraId="5680921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32330"/>
            <wp:effectExtent l="0" t="0" r="190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15"/>
                    <a:stretch>
                      <a:fillRect/>
                    </a:stretch>
                  </pic:blipFill>
                  <pic:spPr>
                    <a:xfrm>
                      <a:off x="0" y="0"/>
                      <a:ext cx="5039995" cy="2132330"/>
                    </a:xfrm>
                    <a:prstGeom prst="rect">
                      <a:avLst/>
                    </a:prstGeom>
                    <a:noFill/>
                    <a:ln>
                      <a:noFill/>
                    </a:ln>
                  </pic:spPr>
                </pic:pic>
              </a:graphicData>
            </a:graphic>
          </wp:inline>
        </w:drawing>
      </w:r>
    </w:p>
    <w:p w14:paraId="37522B0A">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填写</w:t>
      </w:r>
      <w:r>
        <w:rPr>
          <w:rFonts w:hint="eastAsia" w:ascii="Times New Roman" w:hAnsi="Times New Roman" w:eastAsia="宋体" w:cs="Times New Roman"/>
          <w:b w:val="0"/>
          <w:bCs w:val="0"/>
          <w:color w:val="auto"/>
          <w:sz w:val="24"/>
          <w:szCs w:val="24"/>
          <w:highlight w:val="yellow"/>
        </w:rPr>
        <w:t>法人代表姓名</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授权代理人姓名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手机号</w:t>
      </w:r>
    </w:p>
    <w:p w14:paraId="495053F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5291455"/>
            <wp:effectExtent l="0" t="0" r="1905" b="444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16"/>
                    <a:stretch>
                      <a:fillRect/>
                    </a:stretch>
                  </pic:blipFill>
                  <pic:spPr>
                    <a:xfrm>
                      <a:off x="0" y="0"/>
                      <a:ext cx="5039995" cy="5291455"/>
                    </a:xfrm>
                    <a:prstGeom prst="rect">
                      <a:avLst/>
                    </a:prstGeom>
                    <a:noFill/>
                    <a:ln>
                      <a:noFill/>
                    </a:ln>
                  </pic:spPr>
                </pic:pic>
              </a:graphicData>
            </a:graphic>
          </wp:inline>
        </w:drawing>
      </w:r>
    </w:p>
    <w:p w14:paraId="10BE1527">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上传资质文件。填写营业执照有效期，上传</w:t>
      </w:r>
      <w:r>
        <w:rPr>
          <w:rFonts w:hint="eastAsia" w:ascii="Times New Roman" w:hAnsi="Times New Roman" w:eastAsia="宋体" w:cs="Times New Roman"/>
          <w:b w:val="0"/>
          <w:bCs w:val="0"/>
          <w:color w:val="auto"/>
          <w:sz w:val="24"/>
          <w:szCs w:val="24"/>
          <w:highlight w:val="yellow"/>
        </w:rPr>
        <w:t>营业执照、税务登记证、危废许可证、授权委托书</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本标相关的生产工艺流程</w:t>
      </w:r>
      <w:r>
        <w:rPr>
          <w:rFonts w:hint="eastAsia" w:ascii="Times New Roman" w:hAnsi="Times New Roman" w:eastAsia="宋体" w:cs="Times New Roman"/>
          <w:b w:val="0"/>
          <w:bCs w:val="0"/>
          <w:color w:val="auto"/>
          <w:sz w:val="24"/>
          <w:szCs w:val="24"/>
          <w:highlight w:val="yellow"/>
        </w:rPr>
        <w:t>等材料</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注意：本案列举的资料为典型案例资料，实际需上传资料以招标公告载明为准，进行适当调整、补充</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rPr>
        <w:t>（先“选择文件”，然后点“添加”），最后一项“拟投单位”选“</w:t>
      </w:r>
      <w:r>
        <w:rPr>
          <w:rFonts w:hint="eastAsia" w:ascii="Times New Roman" w:hAnsi="Times New Roman" w:eastAsia="宋体" w:cs="Times New Roman"/>
          <w:b w:val="0"/>
          <w:bCs w:val="0"/>
          <w:color w:val="auto"/>
          <w:sz w:val="24"/>
          <w:szCs w:val="24"/>
          <w:highlight w:val="yellow"/>
        </w:rPr>
        <w:t>日照公司</w:t>
      </w:r>
      <w:r>
        <w:rPr>
          <w:rFonts w:hint="eastAsia" w:ascii="Times New Roman" w:hAnsi="Times New Roman" w:eastAsia="宋体" w:cs="Times New Roman"/>
          <w:b w:val="0"/>
          <w:bCs w:val="0"/>
          <w:color w:val="auto"/>
          <w:sz w:val="24"/>
          <w:szCs w:val="24"/>
        </w:rPr>
        <w:t>”。</w:t>
      </w:r>
    </w:p>
    <w:p w14:paraId="2CC841F3">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注意：①营业执照有效期为无限期的，截至日期统一填写</w:t>
      </w:r>
      <w:r>
        <w:rPr>
          <w:rFonts w:ascii="Times New Roman" w:hAnsi="Times New Roman" w:eastAsia="宋体" w:cs="Times New Roman"/>
          <w:b w:val="0"/>
          <w:bCs w:val="0"/>
          <w:color w:val="auto"/>
          <w:sz w:val="24"/>
          <w:szCs w:val="24"/>
        </w:rPr>
        <w:t>2050-1-1</w:t>
      </w:r>
      <w:r>
        <w:rPr>
          <w:rFonts w:hint="eastAsia" w:ascii="Times New Roman" w:hAnsi="Times New Roman" w:eastAsia="宋体" w:cs="Times New Roman"/>
          <w:b w:val="0"/>
          <w:bCs w:val="0"/>
          <w:color w:val="auto"/>
          <w:sz w:val="24"/>
          <w:szCs w:val="24"/>
        </w:rPr>
        <w:t>；</w:t>
      </w:r>
    </w:p>
    <w:p w14:paraId="1BB51D1B">
      <w:pPr>
        <w:spacing w:line="360" w:lineRule="auto"/>
        <w:ind w:firstLine="720" w:firstLineChars="30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②已经三证合一，没有税务登记证的，税务登记证处再上传一遍营业执照。</w:t>
      </w:r>
    </w:p>
    <w:p w14:paraId="6AC5675B">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435860"/>
            <wp:effectExtent l="0" t="0" r="1905" b="254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17"/>
                    <a:stretch>
                      <a:fillRect/>
                    </a:stretch>
                  </pic:blipFill>
                  <pic:spPr>
                    <a:xfrm>
                      <a:off x="0" y="0"/>
                      <a:ext cx="5039995" cy="2435860"/>
                    </a:xfrm>
                    <a:prstGeom prst="rect">
                      <a:avLst/>
                    </a:prstGeom>
                    <a:noFill/>
                    <a:ln>
                      <a:noFill/>
                    </a:ln>
                  </pic:spPr>
                </pic:pic>
              </a:graphicData>
            </a:graphic>
          </wp:inline>
        </w:drawing>
      </w:r>
    </w:p>
    <w:p w14:paraId="105DBD87">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点击“完成”，点击“确定”。然后</w:t>
      </w:r>
      <w:r>
        <w:rPr>
          <w:rFonts w:hint="eastAsia" w:ascii="Times New Roman" w:hAnsi="Times New Roman" w:eastAsia="宋体" w:cs="Times New Roman"/>
          <w:b w:val="0"/>
          <w:bCs w:val="0"/>
          <w:color w:val="auto"/>
          <w:sz w:val="24"/>
          <w:szCs w:val="24"/>
          <w:highlight w:val="yellow"/>
        </w:rPr>
        <w:t>联系客户经理进行资质审核</w:t>
      </w:r>
      <w:r>
        <w:rPr>
          <w:rFonts w:hint="eastAsia" w:ascii="Times New Roman" w:hAnsi="Times New Roman" w:eastAsia="宋体" w:cs="Times New Roman"/>
          <w:b w:val="0"/>
          <w:bCs w:val="0"/>
          <w:color w:val="auto"/>
          <w:sz w:val="24"/>
          <w:szCs w:val="24"/>
        </w:rPr>
        <w:t>。</w:t>
      </w:r>
    </w:p>
    <w:p w14:paraId="3C013807">
      <w:pPr>
        <w:numPr>
          <w:ilvl w:val="0"/>
          <w:numId w:val="12"/>
        </w:numPr>
        <w:ind w:left="0" w:leftChars="0" w:firstLine="420" w:firstLineChars="0"/>
        <w:jc w:val="center"/>
        <w:rPr>
          <w:rFonts w:hint="eastAsia"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网上报价流程</w:t>
      </w:r>
      <w:r>
        <w:rPr>
          <w:rFonts w:hint="eastAsia" w:ascii="Times New Roman" w:hAnsi="Times New Roman" w:cs="Times New Roman"/>
          <w:b/>
          <w:color w:val="auto"/>
          <w:sz w:val="30"/>
          <w:szCs w:val="30"/>
          <w:lang w:eastAsia="zh-CN"/>
        </w:rPr>
        <w:t>（</w:t>
      </w:r>
      <w:r>
        <w:rPr>
          <w:rFonts w:hint="eastAsia" w:ascii="Times New Roman" w:hAnsi="Times New Roman" w:cs="Times New Roman"/>
          <w:b/>
          <w:color w:val="auto"/>
          <w:sz w:val="30"/>
          <w:szCs w:val="30"/>
          <w:em w:val="dot"/>
          <w:lang w:val="en-US" w:eastAsia="zh-CN"/>
        </w:rPr>
        <w:t>未审核状态，不影响该步操作</w:t>
      </w:r>
      <w:r>
        <w:rPr>
          <w:rFonts w:hint="eastAsia" w:ascii="Times New Roman" w:hAnsi="Times New Roman" w:cs="Times New Roman"/>
          <w:b/>
          <w:color w:val="auto"/>
          <w:sz w:val="30"/>
          <w:szCs w:val="30"/>
          <w:lang w:eastAsia="zh-CN"/>
        </w:rPr>
        <w:t>）</w:t>
      </w:r>
    </w:p>
    <w:p w14:paraId="0279FEF1">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使用公司注册的账户密码登陆系统。</w:t>
      </w:r>
    </w:p>
    <w:p w14:paraId="04E90E0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1751330"/>
            <wp:effectExtent l="0" t="0" r="1905" b="1270"/>
            <wp:docPr id="17" name="图片 49" descr="说明: 第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说明: 第一步"/>
                    <pic:cNvPicPr>
                      <a:picLocks noChangeAspect="1"/>
                    </pic:cNvPicPr>
                  </pic:nvPicPr>
                  <pic:blipFill>
                    <a:blip r:embed="rId18"/>
                    <a:stretch>
                      <a:fillRect/>
                    </a:stretch>
                  </pic:blipFill>
                  <pic:spPr>
                    <a:xfrm>
                      <a:off x="0" y="0"/>
                      <a:ext cx="5039995" cy="1751330"/>
                    </a:xfrm>
                    <a:prstGeom prst="rect">
                      <a:avLst/>
                    </a:prstGeom>
                    <a:noFill/>
                    <a:ln>
                      <a:noFill/>
                    </a:ln>
                  </pic:spPr>
                </pic:pic>
              </a:graphicData>
            </a:graphic>
          </wp:inline>
        </w:drawing>
      </w:r>
    </w:p>
    <w:p w14:paraId="3BC022FE">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网上报名</w:t>
      </w: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标签，并对感兴趣的招标进行报名操作及文件下载。</w:t>
      </w:r>
    </w:p>
    <w:p w14:paraId="1A28C25C">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259965"/>
            <wp:effectExtent l="0" t="0" r="1905" b="635"/>
            <wp:docPr id="18" name="图片 50" descr="说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descr="说明: 2"/>
                    <pic:cNvPicPr>
                      <a:picLocks noChangeAspect="1"/>
                    </pic:cNvPicPr>
                  </pic:nvPicPr>
                  <pic:blipFill>
                    <a:blip r:embed="rId19"/>
                    <a:stretch>
                      <a:fillRect/>
                    </a:stretch>
                  </pic:blipFill>
                  <pic:spPr>
                    <a:xfrm>
                      <a:off x="0" y="0"/>
                      <a:ext cx="5039995" cy="2259965"/>
                    </a:xfrm>
                    <a:prstGeom prst="rect">
                      <a:avLst/>
                    </a:prstGeom>
                    <a:noFill/>
                    <a:ln>
                      <a:noFill/>
                    </a:ln>
                  </pic:spPr>
                </pic:pic>
              </a:graphicData>
            </a:graphic>
          </wp:inline>
        </w:drawing>
      </w:r>
    </w:p>
    <w:p w14:paraId="0638EADE">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查看投标资质，勾选‘分包’，点击‘报名’。</w:t>
      </w:r>
    </w:p>
    <w:p w14:paraId="1E6267E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093720"/>
            <wp:effectExtent l="0" t="0" r="1905" b="5080"/>
            <wp:docPr id="19" name="图片 51" descr="说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descr="说明: 3"/>
                    <pic:cNvPicPr>
                      <a:picLocks noChangeAspect="1"/>
                    </pic:cNvPicPr>
                  </pic:nvPicPr>
                  <pic:blipFill>
                    <a:blip r:embed="rId20"/>
                    <a:stretch>
                      <a:fillRect/>
                    </a:stretch>
                  </pic:blipFill>
                  <pic:spPr>
                    <a:xfrm>
                      <a:off x="0" y="0"/>
                      <a:ext cx="5039995" cy="3093720"/>
                    </a:xfrm>
                    <a:prstGeom prst="rect">
                      <a:avLst/>
                    </a:prstGeom>
                    <a:noFill/>
                    <a:ln>
                      <a:noFill/>
                    </a:ln>
                  </pic:spPr>
                </pic:pic>
              </a:graphicData>
            </a:graphic>
          </wp:inline>
        </w:drawing>
      </w:r>
    </w:p>
    <w:p w14:paraId="072D59C6">
      <w:pPr>
        <w:spacing w:line="360" w:lineRule="auto"/>
        <w:jc w:val="left"/>
        <w:rPr>
          <w:rFonts w:ascii="Times New Roman" w:hAnsi="Times New Roman" w:eastAsia="宋体" w:cs="Times New Roman"/>
          <w:b w:val="0"/>
          <w:bCs w:val="0"/>
          <w:color w:val="auto"/>
          <w:sz w:val="24"/>
          <w:szCs w:val="24"/>
        </w:rPr>
      </w:pPr>
    </w:p>
    <w:p w14:paraId="423D2D6C">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报名后，系统人员会审核相关资料，待无误后，即会出现‘网上投标’选项，查看投标情况。点击‘板坯销售投标’进行投标文件的编制。</w:t>
      </w:r>
    </w:p>
    <w:p w14:paraId="3D8BB84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263515" cy="1148715"/>
            <wp:effectExtent l="0" t="0" r="6985" b="6985"/>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21"/>
                    <a:stretch>
                      <a:fillRect/>
                    </a:stretch>
                  </pic:blipFill>
                  <pic:spPr>
                    <a:xfrm>
                      <a:off x="0" y="0"/>
                      <a:ext cx="5263515" cy="1148715"/>
                    </a:xfrm>
                    <a:prstGeom prst="rect">
                      <a:avLst/>
                    </a:prstGeom>
                    <a:noFill/>
                    <a:ln>
                      <a:noFill/>
                    </a:ln>
                  </pic:spPr>
                </pic:pic>
              </a:graphicData>
            </a:graphic>
          </wp:inline>
        </w:drawing>
      </w:r>
    </w:p>
    <w:p w14:paraId="54B0B50F">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填写数量及单价后，保存，并点击完成投标。填写数量及单价后，保存，并点击完成投标。点击‘增加品种’，并在钢种处添加名称“标段序号”或“名称”，填写数量及单价。</w:t>
      </w:r>
      <w:r>
        <w:rPr>
          <w:rFonts w:hint="eastAsia" w:ascii="Times New Roman" w:hAnsi="Times New Roman" w:eastAsia="宋体" w:cs="Times New Roman"/>
          <w:b w:val="0"/>
          <w:bCs w:val="0"/>
          <w:color w:val="auto"/>
          <w:sz w:val="24"/>
          <w:szCs w:val="24"/>
          <w:highlight w:val="yellow"/>
          <w:lang w:val="en-US" w:eastAsia="zh-CN"/>
        </w:rPr>
        <w:t>建议报价统一填写1</w:t>
      </w:r>
      <w:r>
        <w:rPr>
          <w:rFonts w:hint="eastAsia" w:ascii="Times New Roman" w:hAnsi="Times New Roman" w:cs="Times New Roman"/>
          <w:b w:val="0"/>
          <w:bCs w:val="0"/>
          <w:color w:val="auto"/>
          <w:sz w:val="24"/>
          <w:szCs w:val="24"/>
          <w:highlight w:val="yellow"/>
          <w:lang w:val="en-US" w:eastAsia="zh-CN"/>
        </w:rPr>
        <w:t>元/吨</w:t>
      </w:r>
      <w:r>
        <w:rPr>
          <w:rFonts w:hint="eastAsia" w:ascii="Times New Roman" w:hAnsi="Times New Roman" w:eastAsia="宋体" w:cs="Times New Roman"/>
          <w:b w:val="0"/>
          <w:bCs w:val="0"/>
          <w:color w:val="auto"/>
          <w:sz w:val="24"/>
          <w:szCs w:val="24"/>
          <w:highlight w:val="yellow"/>
          <w:lang w:val="en-US" w:eastAsia="zh-CN"/>
        </w:rPr>
        <w:t>。</w:t>
      </w:r>
    </w:p>
    <w:p w14:paraId="5196342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62810"/>
            <wp:effectExtent l="0" t="0" r="1905" b="8890"/>
            <wp:docPr id="21" name="图片 53" descr="说明: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说明: 6"/>
                    <pic:cNvPicPr>
                      <a:picLocks noChangeAspect="1"/>
                    </pic:cNvPicPr>
                  </pic:nvPicPr>
                  <pic:blipFill>
                    <a:blip r:embed="rId22"/>
                    <a:stretch>
                      <a:fillRect/>
                    </a:stretch>
                  </pic:blipFill>
                  <pic:spPr>
                    <a:xfrm>
                      <a:off x="0" y="0"/>
                      <a:ext cx="5039995" cy="2162810"/>
                    </a:xfrm>
                    <a:prstGeom prst="rect">
                      <a:avLst/>
                    </a:prstGeom>
                    <a:noFill/>
                    <a:ln>
                      <a:noFill/>
                    </a:ln>
                  </pic:spPr>
                </pic:pic>
              </a:graphicData>
            </a:graphic>
          </wp:inline>
        </w:drawing>
      </w:r>
    </w:p>
    <w:p w14:paraId="5D45B3C0">
      <w:pPr>
        <w:spacing w:line="360" w:lineRule="auto"/>
        <w:jc w:val="left"/>
        <w:rPr>
          <w:rFonts w:ascii="Times New Roman" w:hAnsi="Times New Roman" w:eastAsia="宋体" w:cs="Times New Roman"/>
          <w:b w:val="0"/>
          <w:bCs w:val="0"/>
          <w:color w:val="auto"/>
          <w:sz w:val="24"/>
          <w:szCs w:val="24"/>
        </w:rPr>
      </w:pPr>
    </w:p>
    <w:p w14:paraId="7FEFD12A">
      <w:pPr>
        <w:numPr>
          <w:ilvl w:val="0"/>
          <w:numId w:val="13"/>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至此，投标工作完成。并可通过此界面进行投标文件的撤回，及投标内容的修改。在招标报名后，即可填写投标文件并提报，无限制。（注：在开标时间到达后，投标文件将拒绝接收。）</w:t>
      </w:r>
    </w:p>
    <w:p w14:paraId="12AC8140">
      <w:pPr>
        <w:pStyle w:val="28"/>
        <w:bidi w:val="0"/>
        <w:ind w:left="0" w:leftChars="0" w:firstLine="420" w:firstLineChars="0"/>
        <w:rPr>
          <w:rFonts w:hint="default"/>
          <w:lang w:val="en-US" w:eastAsia="zh-CN"/>
        </w:rPr>
      </w:pPr>
      <w:bookmarkStart w:id="5" w:name="_Ref8462"/>
      <w:bookmarkStart w:id="6" w:name="_Ref17623"/>
      <w:r>
        <w:rPr>
          <w:rFonts w:hint="default"/>
          <w:lang w:val="en-US" w:eastAsia="zh-CN"/>
        </w:rPr>
        <mc:AlternateContent>
          <mc:Choice Requires="wps">
            <w:drawing>
              <wp:anchor distT="0" distB="0" distL="114300" distR="114300" simplePos="0" relativeHeight="251659264" behindDoc="0" locked="0" layoutInCell="1" allowOverlap="1">
                <wp:simplePos x="0" y="0"/>
                <wp:positionH relativeFrom="column">
                  <wp:posOffset>4666615</wp:posOffset>
                </wp:positionH>
                <wp:positionV relativeFrom="paragraph">
                  <wp:posOffset>-259080</wp:posOffset>
                </wp:positionV>
                <wp:extent cx="1946910" cy="407670"/>
                <wp:effectExtent l="0" t="0" r="8890" b="11430"/>
                <wp:wrapNone/>
                <wp:docPr id="7" name="文本框 37"/>
                <wp:cNvGraphicFramePr/>
                <a:graphic xmlns:a="http://schemas.openxmlformats.org/drawingml/2006/main">
                  <a:graphicData uri="http://schemas.microsoft.com/office/word/2010/wordprocessingShape">
                    <wps:wsp>
                      <wps:cNvSpPr txBox="1"/>
                      <wps:spPr>
                        <a:xfrm>
                          <a:off x="0" y="0"/>
                          <a:ext cx="1946910" cy="407670"/>
                        </a:xfrm>
                        <a:prstGeom prst="rect">
                          <a:avLst/>
                        </a:prstGeom>
                        <a:solidFill>
                          <a:srgbClr val="FFFFFF"/>
                        </a:solidFill>
                        <a:ln>
                          <a:noFill/>
                        </a:ln>
                      </wps:spPr>
                      <wps:txbx>
                        <w:txbxContent>
                          <w:p w14:paraId="49411175">
                            <w:pPr>
                              <w:keepNext w:val="0"/>
                              <w:keepLines w:val="0"/>
                              <w:pageBreakBefore w:val="0"/>
                              <w:widowControl w:val="0"/>
                              <w:kinsoku/>
                              <w:wordWrap/>
                              <w:overflowPunct w:val="0"/>
                              <w:topLinePunct w:val="0"/>
                              <w:autoSpaceDE/>
                              <w:autoSpaceDN/>
                              <w:bidi w:val="0"/>
                              <w:adjustRightInd/>
                              <w:snapToGrid/>
                              <w:spacing w:line="240" w:lineRule="auto"/>
                              <w:ind w:left="0" w:leftChars="0" w:firstLine="0" w:firstLineChars="0"/>
                              <w:jc w:val="center"/>
                              <w:textAlignment w:val="auto"/>
                              <w:rPr>
                                <w:rFonts w:hint="default" w:ascii="仿宋_GB2312" w:hAnsi="仿宋_GB2312" w:eastAsia="仿宋_GB2312" w:cs="仿宋_GB2312"/>
                                <w:color w:val="7E7E7E"/>
                                <w:sz w:val="20"/>
                                <w:szCs w:val="20"/>
                                <w:lang w:val="en-US" w:eastAsia="zh-CN"/>
                              </w:rPr>
                            </w:pPr>
                            <w:r>
                              <w:rPr>
                                <w:rFonts w:hint="eastAsia" w:ascii="方正小标宋简体" w:hAnsi="方正小标宋简体" w:eastAsia="方正小标宋简体" w:cs="方正小标宋简体"/>
                                <w:color w:val="7E7E7E"/>
                                <w:sz w:val="20"/>
                                <w:szCs w:val="20"/>
                                <w:lang w:val="en-US" w:eastAsia="zh-CN"/>
                              </w:rPr>
                              <w:t>壹式壹份，单张打印</w:t>
                            </w:r>
                          </w:p>
                          <w:p w14:paraId="04D0AA63">
                            <w:pPr>
                              <w:rPr>
                                <w:rFonts w:eastAsia="宋体" w:cs="Times New Roman"/>
                                <w:szCs w:val="24"/>
                              </w:rPr>
                            </w:pPr>
                          </w:p>
                        </w:txbxContent>
                      </wps:txbx>
                      <wps:bodyPr wrap="square" upright="1"/>
                    </wps:wsp>
                  </a:graphicData>
                </a:graphic>
              </wp:anchor>
            </w:drawing>
          </mc:Choice>
          <mc:Fallback>
            <w:pict>
              <v:shape id="文本框 37" o:spid="_x0000_s1026" o:spt="202" type="#_x0000_t202" style="position:absolute;left:0pt;margin-left:367.45pt;margin-top:-20.4pt;height:32.1pt;width:153.3pt;z-index:251659264;mso-width-relative:page;mso-height-relative:page;" fillcolor="#FFFFFF" filled="t" stroked="f" coordsize="21600,21600" o:gfxdata="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&#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Bu3o2QAAAAsBAAAPAAAAAAAAAAEAIAAAACIAAABk&#10;cnMvZG93bnJldi54bWxQSwECFAAUAAAACACHTuJACTqEjcwBAACGAwAADgAAAAAAAAABACAAAAAo&#10;AQAAZHJzL2Uyb0RvYy54bWxQSwUGAAAAAAYABgBZAQAAZgUAAAAA&#10;">
                <v:fill on="t" focussize="0,0"/>
                <v:stroke on="f"/>
                <v:imagedata o:title=""/>
                <o:lock v:ext="edit" aspectratio="f"/>
                <v:textbox>
                  <w:txbxContent>
                    <w:p w14:paraId="49411175">
                      <w:pPr>
                        <w:keepNext w:val="0"/>
                        <w:keepLines w:val="0"/>
                        <w:pageBreakBefore w:val="0"/>
                        <w:widowControl w:val="0"/>
                        <w:kinsoku/>
                        <w:wordWrap/>
                        <w:overflowPunct w:val="0"/>
                        <w:topLinePunct w:val="0"/>
                        <w:autoSpaceDE/>
                        <w:autoSpaceDN/>
                        <w:bidi w:val="0"/>
                        <w:adjustRightInd/>
                        <w:snapToGrid/>
                        <w:spacing w:line="240" w:lineRule="auto"/>
                        <w:ind w:left="0" w:leftChars="0" w:firstLine="0" w:firstLineChars="0"/>
                        <w:jc w:val="center"/>
                        <w:textAlignment w:val="auto"/>
                        <w:rPr>
                          <w:rFonts w:hint="default" w:ascii="仿宋_GB2312" w:hAnsi="仿宋_GB2312" w:eastAsia="仿宋_GB2312" w:cs="仿宋_GB2312"/>
                          <w:color w:val="7E7E7E"/>
                          <w:sz w:val="20"/>
                          <w:szCs w:val="20"/>
                          <w:lang w:val="en-US" w:eastAsia="zh-CN"/>
                        </w:rPr>
                      </w:pPr>
                      <w:r>
                        <w:rPr>
                          <w:rFonts w:hint="eastAsia" w:ascii="方正小标宋简体" w:hAnsi="方正小标宋简体" w:eastAsia="方正小标宋简体" w:cs="方正小标宋简体"/>
                          <w:color w:val="7E7E7E"/>
                          <w:sz w:val="20"/>
                          <w:szCs w:val="20"/>
                          <w:lang w:val="en-US" w:eastAsia="zh-CN"/>
                        </w:rPr>
                        <w:t>壹式壹份，单张打印</w:t>
                      </w:r>
                    </w:p>
                    <w:p w14:paraId="04D0AA63">
                      <w:pPr>
                        <w:rPr>
                          <w:rFonts w:eastAsia="宋体" w:cs="Times New Roman"/>
                          <w:szCs w:val="24"/>
                        </w:rPr>
                      </w:pPr>
                    </w:p>
                  </w:txbxContent>
                </v:textbox>
              </v:shape>
            </w:pict>
          </mc:Fallback>
        </mc:AlternateContent>
      </w:r>
      <w:r>
        <w:rPr>
          <w:rFonts w:hint="default"/>
          <w:lang w:val="en-US" w:eastAsia="zh-CN"/>
        </w:rPr>
        <w:t>承诺函(</w:t>
      </w:r>
      <w:r>
        <w:rPr>
          <w:rFonts w:hint="eastAsia"/>
          <w:lang w:val="en-US" w:eastAsia="zh-CN"/>
        </w:rPr>
        <w:t>反向竞价</w:t>
      </w:r>
      <w:r>
        <w:rPr>
          <w:rFonts w:hint="default"/>
          <w:lang w:val="en-US" w:eastAsia="zh-CN"/>
        </w:rPr>
        <w:t>方式)</w:t>
      </w:r>
      <w:bookmarkEnd w:id="5"/>
      <w:r>
        <w:rPr>
          <w:rFonts w:hint="default"/>
          <w:lang w:val="en-US" w:eastAsia="zh-CN"/>
        </w:rPr>
        <w:t>（壹式壹份）</w:t>
      </w:r>
    </w:p>
    <w:p w14:paraId="6C9B3D6E">
      <w:pPr>
        <w:spacing w:line="560" w:lineRule="exact"/>
        <w:jc w:val="center"/>
        <w:rPr>
          <w:rFonts w:hint="eastAsia" w:ascii="黑体" w:hAnsi="黑体" w:eastAsia="黑体" w:cs="Times New Roman"/>
          <w:b w:val="0"/>
          <w:kern w:val="44"/>
          <w:sz w:val="28"/>
          <w:szCs w:val="28"/>
          <w:lang w:val="en-US" w:eastAsia="zh-CN" w:bidi="ar-SA"/>
        </w:rPr>
      </w:pPr>
      <w:r>
        <w:rPr>
          <w:rFonts w:hint="eastAsia" w:ascii="黑体" w:hAnsi="黑体" w:eastAsia="黑体" w:cs="Times New Roman"/>
          <w:b w:val="0"/>
          <w:kern w:val="44"/>
          <w:sz w:val="28"/>
          <w:szCs w:val="28"/>
          <w:lang w:val="en-US" w:eastAsia="zh-CN" w:bidi="ar-SA"/>
        </w:rPr>
        <w:t>承诺函</w:t>
      </w:r>
    </w:p>
    <w:p w14:paraId="1752C24F">
      <w:pPr>
        <w:pStyle w:val="26"/>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按照山东钢铁集团日照有限公司《</w:t>
      </w:r>
      <w:r>
        <w:rPr>
          <w:rFonts w:hint="eastAsia" w:ascii="宋体" w:hAnsi="宋体" w:eastAsia="宋体" w:cs="宋体"/>
          <w:sz w:val="24"/>
          <w:szCs w:val="24"/>
          <w:lang w:eastAsia="zh-CN"/>
        </w:rPr>
        <w:fldChar w:fldCharType="begin"/>
      </w:r>
      <w:r>
        <w:instrText xml:space="preserve"> REF 题目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en-US" w:eastAsia="zh-CN"/>
        </w:rPr>
        <w:t>日照公司危废物资竞卖公告20260916</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REF 题目 \h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REF 题目 \h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rPr>
        <w:t>》的要求，</w:t>
      </w:r>
      <w:r>
        <w:rPr>
          <w:rFonts w:hint="eastAsia" w:ascii="宋体" w:hAnsi="宋体" w:eastAsia="宋体" w:cs="宋体"/>
          <w:sz w:val="24"/>
          <w:szCs w:val="24"/>
          <w:lang w:eastAsia="zh-CN"/>
        </w:rPr>
        <w:t>___________________</w:t>
      </w:r>
      <w:r>
        <w:rPr>
          <w:rFonts w:hint="eastAsia" w:ascii="宋体" w:hAnsi="宋体" w:eastAsia="宋体" w:cs="宋体"/>
          <w:sz w:val="24"/>
          <w:szCs w:val="24"/>
          <w:lang w:val="en-US" w:eastAsia="zh-CN"/>
        </w:rPr>
        <w:t>___________</w:t>
      </w:r>
      <w:r>
        <w:rPr>
          <w:rFonts w:hint="eastAsia" w:ascii="宋体" w:hAnsi="宋体" w:eastAsia="宋体" w:cs="宋体"/>
          <w:sz w:val="24"/>
          <w:szCs w:val="24"/>
        </w:rPr>
        <w:t>公司（以下称：我司）已对现场进行了踏勘，认同货品的品质及现场装车条件。</w:t>
      </w:r>
      <w:r>
        <w:rPr>
          <w:rFonts w:hint="eastAsia" w:ascii="宋体" w:hAnsi="宋体" w:eastAsia="宋体" w:cs="宋体"/>
          <w:sz w:val="24"/>
          <w:szCs w:val="24"/>
          <w:em w:val="dot"/>
          <w:lang w:val="en-US" w:eastAsia="zh-CN"/>
        </w:rPr>
        <w:t>承诺</w:t>
      </w:r>
      <w:r>
        <w:rPr>
          <w:rFonts w:hint="eastAsia" w:ascii="宋体" w:hAnsi="宋体" w:eastAsia="宋体" w:cs="宋体"/>
          <w:sz w:val="24"/>
          <w:szCs w:val="24"/>
          <w:em w:val="dot"/>
        </w:rPr>
        <w:t>年度综合利用处理能力（含本次利用处理量）未达上限</w:t>
      </w:r>
      <w:r>
        <w:rPr>
          <w:rFonts w:hint="eastAsia" w:ascii="宋体" w:hAnsi="宋体" w:cs="宋体"/>
          <w:sz w:val="24"/>
          <w:szCs w:val="24"/>
          <w:em w:val="dot"/>
          <w:lang w:eastAsia="zh-CN"/>
        </w:rPr>
        <w:t>。</w:t>
      </w:r>
    </w:p>
    <w:p w14:paraId="00CCB1B6">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我司承诺：确认</w:t>
      </w:r>
      <w:r>
        <w:rPr>
          <w:rFonts w:hint="eastAsia" w:ascii="宋体" w:hAnsi="宋体" w:cs="宋体"/>
          <w:sz w:val="24"/>
          <w:szCs w:val="24"/>
          <w:u w:val="single" w:color="0070C0"/>
          <w:lang w:val="en-US" w:eastAsia="zh-CN"/>
        </w:rPr>
        <w:t>2026</w:t>
      </w:r>
      <w:r>
        <w:rPr>
          <w:rFonts w:hint="eastAsia" w:ascii="宋体" w:hAnsi="宋体" w:eastAsia="宋体" w:cs="宋体"/>
          <w:sz w:val="24"/>
          <w:szCs w:val="24"/>
        </w:rPr>
        <w:t>年</w:t>
      </w:r>
      <w:r>
        <w:rPr>
          <w:rFonts w:hint="eastAsia" w:ascii="宋体" w:hAnsi="宋体" w:eastAsia="宋体" w:cs="宋体"/>
          <w:sz w:val="24"/>
          <w:szCs w:val="24"/>
          <w:u w:val="single" w:color="0070C0"/>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color="0070C0"/>
          <w:lang w:val="en-US" w:eastAsia="zh-CN"/>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，报价如下：</w:t>
      </w:r>
    </w:p>
    <w:tbl>
      <w:tblPr>
        <w:tblStyle w:val="17"/>
        <w:tblW w:w="489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677"/>
        <w:gridCol w:w="5632"/>
      </w:tblGrid>
      <w:tr w14:paraId="55F5B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tcBorders>
              <w:bottom w:val="single" w:color="auto" w:sz="4" w:space="0"/>
            </w:tcBorders>
            <w:noWrap w:val="0"/>
            <w:vAlign w:val="top"/>
          </w:tcPr>
          <w:p w14:paraId="0D7675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有/无分包</w:t>
            </w:r>
          </w:p>
        </w:tc>
        <w:tc>
          <w:tcPr>
            <w:tcW w:w="2678" w:type="dxa"/>
            <w:tcBorders>
              <w:bottom w:val="single" w:color="auto" w:sz="4" w:space="0"/>
            </w:tcBorders>
            <w:noWrap w:val="0"/>
            <w:vAlign w:val="top"/>
          </w:tcPr>
          <w:p w14:paraId="10EDF3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包号</w:t>
            </w:r>
          </w:p>
        </w:tc>
        <w:tc>
          <w:tcPr>
            <w:tcW w:w="5633" w:type="dxa"/>
            <w:tcBorders>
              <w:bottom w:val="single" w:color="auto" w:sz="4" w:space="0"/>
            </w:tcBorders>
            <w:noWrap w:val="0"/>
            <w:vAlign w:val="top"/>
          </w:tcPr>
          <w:p w14:paraId="143AF1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最终报价</w:t>
            </w:r>
          </w:p>
        </w:tc>
      </w:tr>
      <w:tr w14:paraId="5A6AF3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tcBorders>
              <w:bottom w:val="single" w:color="auto" w:sz="4" w:space="0"/>
            </w:tcBorders>
            <w:noWrap w:val="0"/>
            <w:vAlign w:val="top"/>
          </w:tcPr>
          <w:p w14:paraId="7E613C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无分包□</w:t>
            </w:r>
          </w:p>
        </w:tc>
        <w:tc>
          <w:tcPr>
            <w:tcW w:w="2678" w:type="dxa"/>
            <w:tcBorders>
              <w:bottom w:val="single" w:color="auto" w:sz="4" w:space="0"/>
            </w:tcBorders>
            <w:noWrap w:val="0"/>
            <w:vAlign w:val="top"/>
          </w:tcPr>
          <w:p w14:paraId="3229CB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tc>
        <w:tc>
          <w:tcPr>
            <w:tcW w:w="5633" w:type="dxa"/>
            <w:tcBorders>
              <w:bottom w:val="single" w:color="auto" w:sz="4" w:space="0"/>
            </w:tcBorders>
            <w:noWrap w:val="0"/>
            <w:vAlign w:val="top"/>
          </w:tcPr>
          <w:p w14:paraId="15704101">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元/吨</w:t>
            </w:r>
          </w:p>
        </w:tc>
      </w:tr>
      <w:tr w14:paraId="7CDC1A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restart"/>
            <w:tcBorders>
              <w:top w:val="single" w:color="auto" w:sz="4" w:space="0"/>
              <w:right w:val="single" w:color="auto" w:sz="4" w:space="0"/>
            </w:tcBorders>
            <w:noWrap w:val="0"/>
            <w:vAlign w:val="center"/>
          </w:tcPr>
          <w:p w14:paraId="194ABEED">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有分包□</w:t>
            </w:r>
          </w:p>
        </w:tc>
        <w:tc>
          <w:tcPr>
            <w:tcW w:w="2678" w:type="dxa"/>
            <w:tcBorders>
              <w:top w:val="single" w:color="auto" w:sz="4" w:space="0"/>
              <w:left w:val="single" w:color="auto" w:sz="4" w:space="0"/>
              <w:bottom w:val="single" w:color="auto" w:sz="4" w:space="0"/>
              <w:right w:val="single" w:color="auto" w:sz="4" w:space="0"/>
            </w:tcBorders>
            <w:noWrap w:val="0"/>
            <w:vAlign w:val="top"/>
          </w:tcPr>
          <w:p w14:paraId="4E06F168">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A包</w:t>
            </w:r>
          </w:p>
        </w:tc>
        <w:tc>
          <w:tcPr>
            <w:tcW w:w="5633" w:type="dxa"/>
            <w:tcBorders>
              <w:top w:val="single" w:color="auto" w:sz="4" w:space="0"/>
              <w:left w:val="single" w:color="auto" w:sz="4" w:space="0"/>
              <w:bottom w:val="single" w:color="auto" w:sz="4" w:space="0"/>
              <w:right w:val="nil"/>
            </w:tcBorders>
            <w:noWrap w:val="0"/>
            <w:vAlign w:val="top"/>
          </w:tcPr>
          <w:p w14:paraId="754A8BAF">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49FE2B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562E17A1">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0756887E">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B包</w:t>
            </w:r>
          </w:p>
        </w:tc>
        <w:tc>
          <w:tcPr>
            <w:tcW w:w="5633" w:type="dxa"/>
            <w:tcBorders>
              <w:top w:val="single" w:color="auto" w:sz="4" w:space="0"/>
              <w:left w:val="single" w:color="auto" w:sz="4" w:space="0"/>
              <w:bottom w:val="single" w:color="auto" w:sz="4" w:space="0"/>
              <w:right w:val="nil"/>
            </w:tcBorders>
            <w:noWrap w:val="0"/>
            <w:vAlign w:val="top"/>
          </w:tcPr>
          <w:p w14:paraId="57A34F7B">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68A4A6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7AFA4737">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5632F866">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C包</w:t>
            </w:r>
          </w:p>
        </w:tc>
        <w:tc>
          <w:tcPr>
            <w:tcW w:w="5633" w:type="dxa"/>
            <w:tcBorders>
              <w:top w:val="single" w:color="auto" w:sz="4" w:space="0"/>
              <w:left w:val="single" w:color="auto" w:sz="4" w:space="0"/>
              <w:bottom w:val="single" w:color="auto" w:sz="4" w:space="0"/>
              <w:right w:val="nil"/>
            </w:tcBorders>
            <w:noWrap w:val="0"/>
            <w:vAlign w:val="top"/>
          </w:tcPr>
          <w:p w14:paraId="11598515">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435621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087F1C37">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4E734A28">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D包</w:t>
            </w:r>
          </w:p>
        </w:tc>
        <w:tc>
          <w:tcPr>
            <w:tcW w:w="5633" w:type="dxa"/>
            <w:tcBorders>
              <w:top w:val="single" w:color="auto" w:sz="4" w:space="0"/>
              <w:left w:val="single" w:color="auto" w:sz="4" w:space="0"/>
              <w:bottom w:val="single" w:color="auto" w:sz="4" w:space="0"/>
              <w:right w:val="nil"/>
            </w:tcBorders>
            <w:noWrap w:val="0"/>
            <w:vAlign w:val="top"/>
          </w:tcPr>
          <w:p w14:paraId="203941FE">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106D87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4B41A1A5">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2A953EB0">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E包</w:t>
            </w:r>
          </w:p>
        </w:tc>
        <w:tc>
          <w:tcPr>
            <w:tcW w:w="5633" w:type="dxa"/>
            <w:tcBorders>
              <w:top w:val="single" w:color="auto" w:sz="4" w:space="0"/>
              <w:left w:val="single" w:color="auto" w:sz="4" w:space="0"/>
              <w:bottom w:val="single" w:color="auto" w:sz="4" w:space="0"/>
              <w:right w:val="nil"/>
            </w:tcBorders>
            <w:noWrap w:val="0"/>
            <w:vAlign w:val="top"/>
          </w:tcPr>
          <w:p w14:paraId="51D04136">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1D8254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367F4B23">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6913D537">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F包</w:t>
            </w:r>
          </w:p>
        </w:tc>
        <w:tc>
          <w:tcPr>
            <w:tcW w:w="5633" w:type="dxa"/>
            <w:tcBorders>
              <w:top w:val="single" w:color="auto" w:sz="4" w:space="0"/>
              <w:left w:val="single" w:color="auto" w:sz="4" w:space="0"/>
              <w:bottom w:val="single" w:color="auto" w:sz="4" w:space="0"/>
              <w:right w:val="nil"/>
            </w:tcBorders>
            <w:noWrap w:val="0"/>
            <w:vAlign w:val="top"/>
          </w:tcPr>
          <w:p w14:paraId="26CBEE48">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1F109C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01A2D458">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48669672">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G包</w:t>
            </w:r>
          </w:p>
        </w:tc>
        <w:tc>
          <w:tcPr>
            <w:tcW w:w="5633" w:type="dxa"/>
            <w:tcBorders>
              <w:top w:val="single" w:color="auto" w:sz="4" w:space="0"/>
              <w:left w:val="single" w:color="auto" w:sz="4" w:space="0"/>
              <w:bottom w:val="single" w:color="auto" w:sz="4" w:space="0"/>
              <w:right w:val="nil"/>
            </w:tcBorders>
            <w:noWrap w:val="0"/>
            <w:vAlign w:val="top"/>
          </w:tcPr>
          <w:p w14:paraId="374EB329">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bl>
    <w:p w14:paraId="0FF24075">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em w:val="dot"/>
          <w:lang w:val="en-US" w:eastAsia="zh-CN"/>
        </w:rPr>
        <w:t>*若不涉及，则划去。根据实际在有无分包在方框内画√或者画×。</w:t>
      </w:r>
    </w:p>
    <w:p w14:paraId="0331ED90">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上述报价为含税（</w:t>
      </w:r>
      <w:r>
        <w:rPr>
          <w:rFonts w:hint="eastAsia" w:ascii="宋体" w:hAnsi="宋体" w:eastAsia="宋体" w:cs="宋体"/>
          <w:sz w:val="24"/>
          <w:szCs w:val="24"/>
          <w:lang w:val="en-US" w:eastAsia="zh-CN"/>
        </w:rPr>
        <w:t>6</w:t>
      </w:r>
      <w:r>
        <w:rPr>
          <w:rFonts w:hint="eastAsia" w:ascii="宋体" w:hAnsi="宋体" w:eastAsia="宋体" w:cs="宋体"/>
          <w:sz w:val="24"/>
          <w:szCs w:val="24"/>
        </w:rPr>
        <w:t>%）人民币现汇出厂价格。认同竞卖公告中的所有条款，货品运输使用符合山东钢铁集团日照有限公司环保要求的车辆，并按照卖方要求及时派车进行标的物的运输。车辆入厂前确保水箱排空，皮重增减前提前报备，过磅时车上仅留司机一人，严格按照规定路线行驶，听从日照公司现场人员指挥，劳保护品穿戴齐全，做好安全防护，在日照公司现场人员监护下进行装车作业，装货完成后及时退卡出厂。</w:t>
      </w:r>
    </w:p>
    <w:p w14:paraId="550BDC63">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我司同意按照竞卖公告中的要求及上述承诺，承担相应的责任，并向山东钢铁集团日照有限公司缴纳</w:t>
      </w:r>
      <w:r>
        <w:rPr>
          <w:rFonts w:hint="eastAsia" w:ascii="宋体" w:hAnsi="宋体" w:eastAsia="宋体" w:cs="宋体"/>
          <w:sz w:val="24"/>
          <w:szCs w:val="24"/>
          <w:lang w:eastAsia="zh-CN"/>
        </w:rPr>
        <w:t>___________</w:t>
      </w:r>
      <w:r>
        <w:rPr>
          <w:rFonts w:hint="eastAsia" w:ascii="宋体" w:hAnsi="宋体" w:eastAsia="宋体" w:cs="宋体"/>
          <w:sz w:val="24"/>
          <w:szCs w:val="24"/>
        </w:rPr>
        <w:t>元</w:t>
      </w:r>
      <w:r>
        <w:rPr>
          <w:rFonts w:hint="eastAsia" w:ascii="宋体" w:hAnsi="宋体" w:eastAsia="宋体" w:cs="宋体"/>
          <w:sz w:val="24"/>
          <w:szCs w:val="24"/>
          <w:lang w:val="en-US" w:eastAsia="zh-CN"/>
        </w:rPr>
        <w:t>(≥Σ【预中标单价×公告上预估单重×5%】)</w:t>
      </w:r>
      <w:r>
        <w:rPr>
          <w:rFonts w:hint="eastAsia" w:ascii="宋体" w:hAnsi="宋体" w:eastAsia="宋体" w:cs="宋体"/>
          <w:sz w:val="24"/>
          <w:szCs w:val="24"/>
        </w:rPr>
        <w:t>的</w:t>
      </w:r>
      <w:r>
        <w:rPr>
          <w:rFonts w:hint="eastAsia" w:ascii="宋体" w:hAnsi="宋体" w:eastAsia="宋体" w:cs="宋体"/>
          <w:sz w:val="24"/>
          <w:szCs w:val="24"/>
          <w:lang w:val="en-US" w:eastAsia="zh-CN"/>
        </w:rPr>
        <w:t>履约</w:t>
      </w:r>
      <w:r>
        <w:rPr>
          <w:rFonts w:hint="eastAsia" w:ascii="宋体" w:hAnsi="宋体" w:eastAsia="宋体" w:cs="宋体"/>
          <w:sz w:val="24"/>
          <w:szCs w:val="24"/>
        </w:rPr>
        <w:t>保证金。如我司不按时签署合同、缴纳所需款项、违反竞卖公告或已签订合同中的条款，都将按照违约予以处理，并全额扣除该保证金。</w:t>
      </w:r>
    </w:p>
    <w:p w14:paraId="24F1090F">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单位（公章）</w:t>
      </w:r>
    </w:p>
    <w:p w14:paraId="5EABB20E">
      <w:pPr>
        <w:widowControl w:val="0"/>
        <w:spacing w:line="300" w:lineRule="exact"/>
        <w:ind w:left="-178" w:leftChars="-85" w:right="840" w:firstLine="3900" w:firstLineChars="1300"/>
        <w:jc w:val="both"/>
        <w:rPr>
          <w:rFonts w:ascii="仿宋_GB2312" w:hAnsi="仿宋_GB2312" w:eastAsia="仿宋_GB2312" w:cs="仿宋_GB2312"/>
          <w:b w:val="0"/>
          <w:bCs/>
          <w:kern w:val="2"/>
          <w:sz w:val="30"/>
          <w:szCs w:val="30"/>
          <w:lang w:val="en-US" w:eastAsia="zh-CN" w:bidi="ar-SA"/>
        </w:rPr>
      </w:pPr>
    </w:p>
    <w:p w14:paraId="5FA2AA3F">
      <w:pPr>
        <w:widowControl w:val="0"/>
        <w:spacing w:line="300" w:lineRule="exact"/>
        <w:ind w:left="-178" w:leftChars="-85" w:right="840" w:firstLine="3900" w:firstLineChars="1300"/>
        <w:jc w:val="both"/>
        <w:rPr>
          <w:rFonts w:ascii="仿宋_GB2312" w:hAnsi="仿宋_GB2312" w:eastAsia="仿宋_GB2312" w:cs="仿宋_GB2312"/>
          <w:b w:val="0"/>
          <w:bCs/>
          <w:kern w:val="2"/>
          <w:sz w:val="30"/>
          <w:szCs w:val="30"/>
          <w:lang w:val="en-US" w:eastAsia="zh-CN" w:bidi="ar-SA"/>
        </w:rPr>
      </w:pPr>
    </w:p>
    <w:p w14:paraId="1B100180">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center"/>
        <w:textAlignment w:val="auto"/>
        <w:rPr>
          <w:rFonts w:hint="eastAsia" w:ascii="仿宋_GB2312" w:hAnsi="仿宋_GB2312" w:eastAsia="仿宋_GB2312" w:cs="仿宋_GB2312"/>
          <w:b w:val="0"/>
          <w:bCs/>
          <w:kern w:val="2"/>
          <w:sz w:val="30"/>
          <w:szCs w:val="30"/>
          <w:lang w:val="en-US" w:eastAsia="zh-CN" w:bidi="ar-SA"/>
        </w:rPr>
      </w:pPr>
      <w:r>
        <w:rPr>
          <w:rFonts w:hint="eastAsia" w:ascii="宋体" w:hAnsi="宋体" w:eastAsia="宋体" w:cs="宋体"/>
          <w:b w:val="0"/>
          <w:bCs w:val="0"/>
          <w:color w:val="auto"/>
          <w:kern w:val="2"/>
          <w:sz w:val="24"/>
          <w:szCs w:val="24"/>
          <w:lang w:val="en-US" w:eastAsia="zh-CN" w:bidi="ar-SA"/>
        </w:rPr>
        <w:t>日期：_____年___月___日</w:t>
      </w:r>
    </w:p>
    <w:p w14:paraId="7DAD1458">
      <w:pPr>
        <w:rPr>
          <w:rFonts w:hint="default"/>
          <w:lang w:val="en-US" w:eastAsia="zh-CN"/>
        </w:rPr>
        <w:sectPr>
          <w:pgSz w:w="11906" w:h="16838"/>
          <w:pgMar w:top="720" w:right="720" w:bottom="720" w:left="720" w:header="851" w:footer="992" w:gutter="0"/>
          <w:pgNumType w:fmt="decimal"/>
          <w:cols w:space="720" w:num="1"/>
          <w:docGrid w:type="lines" w:linePitch="312" w:charSpace="0"/>
        </w:sectPr>
      </w:pPr>
    </w:p>
    <w:p w14:paraId="62AC30A8">
      <w:pPr>
        <w:rPr>
          <w:rFonts w:hint="default"/>
          <w:lang w:val="en-US" w:eastAsia="zh-CN"/>
        </w:rPr>
      </w:pPr>
    </w:p>
    <w:p w14:paraId="7FBFECF0">
      <w:pPr>
        <w:pStyle w:val="28"/>
        <w:bidi w:val="0"/>
        <w:ind w:left="0" w:leftChars="0" w:firstLine="420" w:firstLineChars="0"/>
        <w:rPr>
          <w:rFonts w:hint="default"/>
          <w:lang w:val="en-US" w:eastAsia="zh-CN"/>
        </w:rPr>
      </w:pPr>
      <w:bookmarkStart w:id="7" w:name="_Ref2418"/>
      <w:r>
        <w:rPr>
          <w:rFonts w:hint="eastAsia"/>
          <w:lang w:val="en-US" w:eastAsia="zh-CN"/>
        </w:rPr>
        <w:t>承诺函</w:t>
      </w:r>
      <w:bookmarkEnd w:id="6"/>
      <w:r>
        <w:rPr>
          <w:rFonts w:hint="eastAsia"/>
          <w:lang w:val="en-US" w:eastAsia="zh-CN"/>
        </w:rPr>
        <w:t>(公开增价方式)</w:t>
      </w:r>
      <w:bookmarkEnd w:id="7"/>
      <w:r>
        <w:rPr>
          <w:rFonts w:hint="eastAsia"/>
          <w:lang w:val="en-US" w:eastAsia="zh-CN"/>
        </w:rPr>
        <w:t>（壹式壹份）</w:t>
      </w:r>
      <w:r>
        <w:rPr>
          <w:rFonts w:hint="eastAsia"/>
          <w:lang w:val="en-US" w:eastAsia="zh-CN"/>
        </w:rPr>
        <mc:AlternateContent>
          <mc:Choice Requires="wps">
            <w:drawing>
              <wp:anchor distT="0" distB="0" distL="114300" distR="114300" simplePos="0" relativeHeight="251660288" behindDoc="0" locked="0" layoutInCell="1" allowOverlap="1">
                <wp:simplePos x="0" y="0"/>
                <wp:positionH relativeFrom="column">
                  <wp:posOffset>4666615</wp:posOffset>
                </wp:positionH>
                <wp:positionV relativeFrom="paragraph">
                  <wp:posOffset>-457200</wp:posOffset>
                </wp:positionV>
                <wp:extent cx="1946910" cy="407670"/>
                <wp:effectExtent l="0" t="0" r="8890" b="11430"/>
                <wp:wrapNone/>
                <wp:docPr id="8" name="文本框 38"/>
                <wp:cNvGraphicFramePr/>
                <a:graphic xmlns:a="http://schemas.openxmlformats.org/drawingml/2006/main">
                  <a:graphicData uri="http://schemas.microsoft.com/office/word/2010/wordprocessingShape">
                    <wps:wsp>
                      <wps:cNvSpPr txBox="1"/>
                      <wps:spPr>
                        <a:xfrm>
                          <a:off x="0" y="0"/>
                          <a:ext cx="1946910" cy="407670"/>
                        </a:xfrm>
                        <a:prstGeom prst="rect">
                          <a:avLst/>
                        </a:prstGeom>
                        <a:solidFill>
                          <a:srgbClr val="FFFFFF"/>
                        </a:solidFill>
                        <a:ln>
                          <a:noFill/>
                        </a:ln>
                      </wps:spPr>
                      <wps:txbx>
                        <w:txbxContent>
                          <w:p w14:paraId="734EEAE0">
                            <w:pPr>
                              <w:keepNext w:val="0"/>
                              <w:keepLines w:val="0"/>
                              <w:pageBreakBefore w:val="0"/>
                              <w:widowControl w:val="0"/>
                              <w:kinsoku/>
                              <w:wordWrap/>
                              <w:overflowPunct w:val="0"/>
                              <w:topLinePunct w:val="0"/>
                              <w:autoSpaceDE/>
                              <w:autoSpaceDN/>
                              <w:bidi w:val="0"/>
                              <w:adjustRightInd/>
                              <w:snapToGrid/>
                              <w:spacing w:line="240" w:lineRule="auto"/>
                              <w:ind w:left="0" w:leftChars="0" w:firstLine="0" w:firstLineChars="0"/>
                              <w:jc w:val="center"/>
                              <w:textAlignment w:val="auto"/>
                              <w:rPr>
                                <w:rFonts w:hint="default" w:ascii="仿宋_GB2312" w:hAnsi="仿宋_GB2312" w:eastAsia="仿宋_GB2312" w:cs="仿宋_GB2312"/>
                                <w:color w:val="7E7E7E"/>
                                <w:sz w:val="20"/>
                                <w:szCs w:val="20"/>
                                <w:lang w:val="en-US" w:eastAsia="zh-CN"/>
                              </w:rPr>
                            </w:pPr>
                            <w:r>
                              <w:rPr>
                                <w:rFonts w:hint="eastAsia" w:ascii="方正小标宋简体" w:hAnsi="方正小标宋简体" w:eastAsia="方正小标宋简体" w:cs="方正小标宋简体"/>
                                <w:color w:val="7E7E7E"/>
                                <w:sz w:val="20"/>
                                <w:szCs w:val="20"/>
                                <w:lang w:val="en-US" w:eastAsia="zh-CN"/>
                              </w:rPr>
                              <w:t>壹式壹份，单张打印</w:t>
                            </w:r>
                          </w:p>
                          <w:p w14:paraId="1870CAB9">
                            <w:pPr>
                              <w:rPr>
                                <w:rFonts w:eastAsia="宋体" w:cs="Times New Roman"/>
                                <w:szCs w:val="24"/>
                              </w:rPr>
                            </w:pPr>
                          </w:p>
                        </w:txbxContent>
                      </wps:txbx>
                      <wps:bodyPr wrap="square" upright="1"/>
                    </wps:wsp>
                  </a:graphicData>
                </a:graphic>
              </wp:anchor>
            </w:drawing>
          </mc:Choice>
          <mc:Fallback>
            <w:pict>
              <v:shape id="文本框 38" o:spid="_x0000_s1026" o:spt="202" type="#_x0000_t202" style="position:absolute;left:0pt;margin-left:367.45pt;margin-top:-36pt;height:32.1pt;width:153.3pt;z-index:251660288;mso-width-relative:page;mso-height-relative:page;" fillcolor="#FFFFFF" filled="t" stroked="f" coordsize="21600,21600" o:gfxdata="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yLGWO2AAAAAsBAAAPAAAAAAAAAAEAIAAAACIAAABk&#10;cnMvZG93bnJldi54bWxQSwECFAAUAAAACACHTuJAi3ctm80BAACGAwAADgAAAAAAAAABACAAAAAn&#10;AQAAZHJzL2Uyb0RvYy54bWxQSwUGAAAAAAYABgBZAQAAZgUAAAAA&#10;">
                <v:fill on="t" focussize="0,0"/>
                <v:stroke on="f"/>
                <v:imagedata o:title=""/>
                <o:lock v:ext="edit" aspectratio="f"/>
                <v:textbox>
                  <w:txbxContent>
                    <w:p w14:paraId="734EEAE0">
                      <w:pPr>
                        <w:keepNext w:val="0"/>
                        <w:keepLines w:val="0"/>
                        <w:pageBreakBefore w:val="0"/>
                        <w:widowControl w:val="0"/>
                        <w:kinsoku/>
                        <w:wordWrap/>
                        <w:overflowPunct w:val="0"/>
                        <w:topLinePunct w:val="0"/>
                        <w:autoSpaceDE/>
                        <w:autoSpaceDN/>
                        <w:bidi w:val="0"/>
                        <w:adjustRightInd/>
                        <w:snapToGrid/>
                        <w:spacing w:line="240" w:lineRule="auto"/>
                        <w:ind w:left="0" w:leftChars="0" w:firstLine="0" w:firstLineChars="0"/>
                        <w:jc w:val="center"/>
                        <w:textAlignment w:val="auto"/>
                        <w:rPr>
                          <w:rFonts w:hint="default" w:ascii="仿宋_GB2312" w:hAnsi="仿宋_GB2312" w:eastAsia="仿宋_GB2312" w:cs="仿宋_GB2312"/>
                          <w:color w:val="7E7E7E"/>
                          <w:sz w:val="20"/>
                          <w:szCs w:val="20"/>
                          <w:lang w:val="en-US" w:eastAsia="zh-CN"/>
                        </w:rPr>
                      </w:pPr>
                      <w:r>
                        <w:rPr>
                          <w:rFonts w:hint="eastAsia" w:ascii="方正小标宋简体" w:hAnsi="方正小标宋简体" w:eastAsia="方正小标宋简体" w:cs="方正小标宋简体"/>
                          <w:color w:val="7E7E7E"/>
                          <w:sz w:val="20"/>
                          <w:szCs w:val="20"/>
                          <w:lang w:val="en-US" w:eastAsia="zh-CN"/>
                        </w:rPr>
                        <w:t>壹式壹份，单张打印</w:t>
                      </w:r>
                    </w:p>
                    <w:p w14:paraId="1870CAB9">
                      <w:pPr>
                        <w:rPr>
                          <w:rFonts w:eastAsia="宋体" w:cs="Times New Roman"/>
                          <w:szCs w:val="24"/>
                        </w:rPr>
                      </w:pPr>
                    </w:p>
                  </w:txbxContent>
                </v:textbox>
              </v:shape>
            </w:pict>
          </mc:Fallback>
        </mc:AlternateContent>
      </w:r>
    </w:p>
    <w:p w14:paraId="5F655749">
      <w:pPr>
        <w:spacing w:line="560" w:lineRule="exact"/>
        <w:jc w:val="center"/>
        <w:rPr>
          <w:rFonts w:hint="eastAsia" w:ascii="黑体" w:hAnsi="黑体" w:eastAsia="黑体" w:cs="Times New Roman"/>
          <w:b w:val="0"/>
          <w:kern w:val="44"/>
          <w:sz w:val="28"/>
          <w:szCs w:val="28"/>
          <w:lang w:val="en-US" w:eastAsia="zh-CN" w:bidi="ar-SA"/>
        </w:rPr>
      </w:pPr>
      <w:r>
        <w:rPr>
          <w:rFonts w:hint="eastAsia" w:ascii="黑体" w:hAnsi="黑体" w:eastAsia="黑体" w:cs="Times New Roman"/>
          <w:b w:val="0"/>
          <w:kern w:val="44"/>
          <w:sz w:val="28"/>
          <w:szCs w:val="28"/>
          <w:lang w:val="en-US" w:eastAsia="zh-CN" w:bidi="ar-SA"/>
        </w:rPr>
        <w:t>承诺函</w:t>
      </w:r>
    </w:p>
    <w:p w14:paraId="27919DD4">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按照山东钢铁集团日照有限公司《</w:t>
      </w:r>
      <w:r>
        <w:rPr>
          <w:rFonts w:hint="eastAsia" w:ascii="宋体" w:hAnsi="宋体" w:eastAsia="宋体" w:cs="宋体"/>
          <w:sz w:val="24"/>
          <w:szCs w:val="24"/>
          <w:lang w:eastAsia="zh-CN"/>
        </w:rPr>
        <w:fldChar w:fldCharType="begin"/>
      </w:r>
      <w:r>
        <w:instrText xml:space="preserve"> REF 题目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val="en-US" w:eastAsia="zh-CN"/>
        </w:rPr>
        <w:t>日照公司危废物资竞卖公告20260916</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公告名称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公告名称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公告名称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公告名称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公告名称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公告名称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br2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br2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fldChar w:fldCharType="begin"/>
      </w:r>
      <w:r>
        <w:rPr>
          <w:rFonts w:hint="eastAsia" w:ascii="宋体" w:hAnsi="宋体" w:eastAsia="宋体" w:cs="宋体"/>
          <w:sz w:val="24"/>
          <w:szCs w:val="24"/>
        </w:rPr>
        <w:instrText xml:space="preserve"> REF br2 \h  \* MERGEFORMAT</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fldChar w:fldCharType="end"/>
      </w:r>
      <w:r>
        <w:rPr>
          <w:rFonts w:hint="eastAsia" w:ascii="宋体" w:hAnsi="宋体" w:eastAsia="宋体" w:cs="宋体"/>
          <w:sz w:val="24"/>
          <w:szCs w:val="24"/>
        </w:rPr>
        <w:t>》的要求，</w:t>
      </w:r>
      <w:r>
        <w:rPr>
          <w:rFonts w:hint="eastAsia" w:ascii="宋体" w:hAnsi="宋体" w:eastAsia="宋体" w:cs="宋体"/>
          <w:sz w:val="24"/>
          <w:szCs w:val="24"/>
          <w:lang w:eastAsia="zh-CN"/>
        </w:rPr>
        <w:t>___________________</w:t>
      </w:r>
      <w:r>
        <w:rPr>
          <w:rFonts w:hint="eastAsia" w:ascii="宋体" w:hAnsi="宋体" w:eastAsia="宋体" w:cs="宋体"/>
          <w:sz w:val="24"/>
          <w:szCs w:val="24"/>
          <w:lang w:val="en-US" w:eastAsia="zh-CN"/>
        </w:rPr>
        <w:t>___________</w:t>
      </w:r>
      <w:r>
        <w:rPr>
          <w:rFonts w:hint="eastAsia" w:ascii="宋体" w:hAnsi="宋体" w:eastAsia="宋体" w:cs="宋体"/>
          <w:sz w:val="24"/>
          <w:szCs w:val="24"/>
        </w:rPr>
        <w:t>公司（以下称：我司）已对现场进行了踏勘，认同货品的品质及现场装车条件。</w:t>
      </w:r>
      <w:r>
        <w:rPr>
          <w:rFonts w:hint="eastAsia" w:ascii="宋体" w:hAnsi="宋体" w:eastAsia="宋体" w:cs="宋体"/>
          <w:sz w:val="24"/>
          <w:szCs w:val="24"/>
          <w:em w:val="dot"/>
          <w:lang w:val="en-US" w:eastAsia="zh-CN"/>
        </w:rPr>
        <w:t>承诺</w:t>
      </w:r>
      <w:r>
        <w:rPr>
          <w:rFonts w:hint="eastAsia" w:ascii="宋体" w:hAnsi="宋体" w:eastAsia="宋体" w:cs="宋体"/>
          <w:sz w:val="24"/>
          <w:szCs w:val="24"/>
          <w:em w:val="dot"/>
        </w:rPr>
        <w:t>年度综合利用处理能力（含本次利用处理量）未达上限</w:t>
      </w:r>
      <w:r>
        <w:rPr>
          <w:rFonts w:hint="eastAsia" w:ascii="宋体" w:hAnsi="宋体" w:cs="宋体"/>
          <w:sz w:val="24"/>
          <w:szCs w:val="24"/>
          <w:em w:val="dot"/>
          <w:lang w:eastAsia="zh-CN"/>
        </w:rPr>
        <w:t>。</w:t>
      </w:r>
    </w:p>
    <w:p w14:paraId="38B18130">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我司承诺：确认</w:t>
      </w:r>
      <w:r>
        <w:rPr>
          <w:rFonts w:hint="eastAsia" w:ascii="宋体" w:hAnsi="宋体" w:cs="宋体"/>
          <w:sz w:val="24"/>
          <w:szCs w:val="24"/>
          <w:u w:val="single" w:color="0070C0"/>
          <w:lang w:val="en-US" w:eastAsia="zh-CN"/>
        </w:rPr>
        <w:t>2026</w:t>
      </w:r>
      <w:r>
        <w:rPr>
          <w:rFonts w:hint="eastAsia" w:ascii="宋体" w:hAnsi="宋体" w:eastAsia="宋体" w:cs="宋体"/>
          <w:sz w:val="24"/>
          <w:szCs w:val="24"/>
        </w:rPr>
        <w:t>年</w:t>
      </w:r>
      <w:r>
        <w:rPr>
          <w:rFonts w:hint="eastAsia" w:ascii="宋体" w:hAnsi="宋体" w:eastAsia="宋体" w:cs="宋体"/>
          <w:sz w:val="24"/>
          <w:szCs w:val="24"/>
          <w:u w:val="single" w:color="0070C0"/>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color="0070C0"/>
          <w:lang w:val="en-US" w:eastAsia="zh-CN"/>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，报价如下：</w:t>
      </w:r>
    </w:p>
    <w:tbl>
      <w:tblPr>
        <w:tblStyle w:val="17"/>
        <w:tblW w:w="489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677"/>
        <w:gridCol w:w="5632"/>
      </w:tblGrid>
      <w:tr w14:paraId="3F1813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tcBorders>
              <w:bottom w:val="single" w:color="auto" w:sz="4" w:space="0"/>
            </w:tcBorders>
            <w:noWrap w:val="0"/>
            <w:vAlign w:val="top"/>
          </w:tcPr>
          <w:p w14:paraId="2F2B93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有/无分包</w:t>
            </w:r>
          </w:p>
        </w:tc>
        <w:tc>
          <w:tcPr>
            <w:tcW w:w="2678" w:type="dxa"/>
            <w:tcBorders>
              <w:bottom w:val="single" w:color="auto" w:sz="4" w:space="0"/>
            </w:tcBorders>
            <w:noWrap w:val="0"/>
            <w:vAlign w:val="top"/>
          </w:tcPr>
          <w:p w14:paraId="7F59B5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包号</w:t>
            </w:r>
          </w:p>
        </w:tc>
        <w:tc>
          <w:tcPr>
            <w:tcW w:w="5633" w:type="dxa"/>
            <w:tcBorders>
              <w:bottom w:val="single" w:color="auto" w:sz="4" w:space="0"/>
            </w:tcBorders>
            <w:noWrap w:val="0"/>
            <w:vAlign w:val="top"/>
          </w:tcPr>
          <w:p w14:paraId="65FCFE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最终报价</w:t>
            </w:r>
          </w:p>
        </w:tc>
      </w:tr>
      <w:tr w14:paraId="6A0AA2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tcBorders>
              <w:bottom w:val="single" w:color="auto" w:sz="4" w:space="0"/>
            </w:tcBorders>
            <w:noWrap w:val="0"/>
            <w:vAlign w:val="top"/>
          </w:tcPr>
          <w:p w14:paraId="48B9BA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无分包□</w:t>
            </w:r>
          </w:p>
        </w:tc>
        <w:tc>
          <w:tcPr>
            <w:tcW w:w="2678" w:type="dxa"/>
            <w:tcBorders>
              <w:bottom w:val="single" w:color="auto" w:sz="4" w:space="0"/>
            </w:tcBorders>
            <w:noWrap w:val="0"/>
            <w:vAlign w:val="top"/>
          </w:tcPr>
          <w:p w14:paraId="2F4751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tc>
        <w:tc>
          <w:tcPr>
            <w:tcW w:w="5633" w:type="dxa"/>
            <w:tcBorders>
              <w:bottom w:val="single" w:color="auto" w:sz="4" w:space="0"/>
            </w:tcBorders>
            <w:noWrap w:val="0"/>
            <w:vAlign w:val="top"/>
          </w:tcPr>
          <w:p w14:paraId="365D09DE">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元/吨</w:t>
            </w:r>
          </w:p>
        </w:tc>
      </w:tr>
      <w:tr w14:paraId="0FCEC1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restart"/>
            <w:tcBorders>
              <w:top w:val="single" w:color="auto" w:sz="4" w:space="0"/>
              <w:right w:val="single" w:color="auto" w:sz="4" w:space="0"/>
            </w:tcBorders>
            <w:noWrap w:val="0"/>
            <w:vAlign w:val="center"/>
          </w:tcPr>
          <w:p w14:paraId="7E8CDAFA">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有分包□</w:t>
            </w:r>
          </w:p>
        </w:tc>
        <w:tc>
          <w:tcPr>
            <w:tcW w:w="2678" w:type="dxa"/>
            <w:tcBorders>
              <w:top w:val="single" w:color="auto" w:sz="4" w:space="0"/>
              <w:left w:val="single" w:color="auto" w:sz="4" w:space="0"/>
              <w:bottom w:val="single" w:color="auto" w:sz="4" w:space="0"/>
              <w:right w:val="single" w:color="auto" w:sz="4" w:space="0"/>
            </w:tcBorders>
            <w:noWrap w:val="0"/>
            <w:vAlign w:val="top"/>
          </w:tcPr>
          <w:p w14:paraId="5704187C">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A包</w:t>
            </w:r>
          </w:p>
        </w:tc>
        <w:tc>
          <w:tcPr>
            <w:tcW w:w="5633" w:type="dxa"/>
            <w:tcBorders>
              <w:top w:val="single" w:color="auto" w:sz="4" w:space="0"/>
              <w:left w:val="single" w:color="auto" w:sz="4" w:space="0"/>
              <w:bottom w:val="single" w:color="auto" w:sz="4" w:space="0"/>
              <w:right w:val="nil"/>
            </w:tcBorders>
            <w:noWrap w:val="0"/>
            <w:vAlign w:val="top"/>
          </w:tcPr>
          <w:p w14:paraId="527EBF69">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48C247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52C503BA">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1F56C284">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B包</w:t>
            </w:r>
          </w:p>
        </w:tc>
        <w:tc>
          <w:tcPr>
            <w:tcW w:w="5633" w:type="dxa"/>
            <w:tcBorders>
              <w:top w:val="single" w:color="auto" w:sz="4" w:space="0"/>
              <w:left w:val="single" w:color="auto" w:sz="4" w:space="0"/>
              <w:bottom w:val="single" w:color="auto" w:sz="4" w:space="0"/>
              <w:right w:val="nil"/>
            </w:tcBorders>
            <w:noWrap w:val="0"/>
            <w:vAlign w:val="top"/>
          </w:tcPr>
          <w:p w14:paraId="5BA0B269">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4351A5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00ED76C1">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7D00CBFB">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C包</w:t>
            </w:r>
          </w:p>
        </w:tc>
        <w:tc>
          <w:tcPr>
            <w:tcW w:w="5633" w:type="dxa"/>
            <w:tcBorders>
              <w:top w:val="single" w:color="auto" w:sz="4" w:space="0"/>
              <w:left w:val="single" w:color="auto" w:sz="4" w:space="0"/>
              <w:bottom w:val="single" w:color="auto" w:sz="4" w:space="0"/>
              <w:right w:val="nil"/>
            </w:tcBorders>
            <w:noWrap w:val="0"/>
            <w:vAlign w:val="top"/>
          </w:tcPr>
          <w:p w14:paraId="4308946E">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6882DF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4C56406D">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3C2851E2">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D包</w:t>
            </w:r>
          </w:p>
        </w:tc>
        <w:tc>
          <w:tcPr>
            <w:tcW w:w="5633" w:type="dxa"/>
            <w:tcBorders>
              <w:top w:val="single" w:color="auto" w:sz="4" w:space="0"/>
              <w:left w:val="single" w:color="auto" w:sz="4" w:space="0"/>
              <w:bottom w:val="single" w:color="auto" w:sz="4" w:space="0"/>
              <w:right w:val="nil"/>
            </w:tcBorders>
            <w:noWrap w:val="0"/>
            <w:vAlign w:val="top"/>
          </w:tcPr>
          <w:p w14:paraId="5A89F789">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272970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28BED177">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6C0DB935">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E包</w:t>
            </w:r>
          </w:p>
        </w:tc>
        <w:tc>
          <w:tcPr>
            <w:tcW w:w="5633" w:type="dxa"/>
            <w:tcBorders>
              <w:top w:val="single" w:color="auto" w:sz="4" w:space="0"/>
              <w:left w:val="single" w:color="auto" w:sz="4" w:space="0"/>
              <w:bottom w:val="single" w:color="auto" w:sz="4" w:space="0"/>
              <w:right w:val="nil"/>
            </w:tcBorders>
            <w:noWrap w:val="0"/>
            <w:vAlign w:val="top"/>
          </w:tcPr>
          <w:p w14:paraId="1264091A">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4BA8EC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7C965918">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64F67406">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F包</w:t>
            </w:r>
          </w:p>
        </w:tc>
        <w:tc>
          <w:tcPr>
            <w:tcW w:w="5633" w:type="dxa"/>
            <w:tcBorders>
              <w:top w:val="single" w:color="auto" w:sz="4" w:space="0"/>
              <w:left w:val="single" w:color="auto" w:sz="4" w:space="0"/>
              <w:bottom w:val="single" w:color="auto" w:sz="4" w:space="0"/>
              <w:right w:val="nil"/>
            </w:tcBorders>
            <w:noWrap w:val="0"/>
            <w:vAlign w:val="top"/>
          </w:tcPr>
          <w:p w14:paraId="1FD7510D">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r w14:paraId="658742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138" w:type="dxa"/>
            <w:vMerge w:val="continue"/>
            <w:tcBorders>
              <w:right w:val="single" w:color="auto" w:sz="4" w:space="0"/>
            </w:tcBorders>
            <w:noWrap w:val="0"/>
            <w:vAlign w:val="top"/>
          </w:tcPr>
          <w:p w14:paraId="7EC7B586">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vertAlign w:val="baseline"/>
                <w:lang w:val="en-US" w:eastAsia="zh-CN"/>
              </w:rPr>
            </w:pPr>
          </w:p>
        </w:tc>
        <w:tc>
          <w:tcPr>
            <w:tcW w:w="2678" w:type="dxa"/>
            <w:tcBorders>
              <w:top w:val="single" w:color="auto" w:sz="4" w:space="0"/>
              <w:left w:val="single" w:color="auto" w:sz="4" w:space="0"/>
              <w:bottom w:val="single" w:color="auto" w:sz="4" w:space="0"/>
              <w:right w:val="single" w:color="auto" w:sz="4" w:space="0"/>
            </w:tcBorders>
            <w:noWrap w:val="0"/>
            <w:vAlign w:val="top"/>
          </w:tcPr>
          <w:p w14:paraId="49E4560F">
            <w:pPr>
              <w:keepNext w:val="0"/>
              <w:keepLines w:val="0"/>
              <w:pageBreakBefore w:val="0"/>
              <w:widowControl w:val="0"/>
              <w:tabs>
                <w:tab w:val="left" w:pos="425"/>
              </w:tabs>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G包</w:t>
            </w:r>
          </w:p>
        </w:tc>
        <w:tc>
          <w:tcPr>
            <w:tcW w:w="5633" w:type="dxa"/>
            <w:tcBorders>
              <w:top w:val="single" w:color="auto" w:sz="4" w:space="0"/>
              <w:left w:val="single" w:color="auto" w:sz="4" w:space="0"/>
              <w:bottom w:val="single" w:color="auto" w:sz="4" w:space="0"/>
              <w:right w:val="nil"/>
            </w:tcBorders>
            <w:noWrap w:val="0"/>
            <w:vAlign w:val="top"/>
          </w:tcPr>
          <w:p w14:paraId="6EDAADA2">
            <w:pPr>
              <w:keepNext w:val="0"/>
              <w:keepLines w:val="0"/>
              <w:pageBreakBefore w:val="0"/>
              <w:widowControl w:val="0"/>
              <w:tabs>
                <w:tab w:val="left" w:pos="425"/>
              </w:tabs>
              <w:kinsoku/>
              <w:wordWrap/>
              <w:overflowPunct/>
              <w:topLinePunct w:val="0"/>
              <w:autoSpaceDE/>
              <w:autoSpaceDN/>
              <w:bidi w:val="0"/>
              <w:adjustRightInd/>
              <w:snapToGrid/>
              <w:spacing w:line="360" w:lineRule="auto"/>
              <w:ind w:right="288" w:rightChars="137"/>
              <w:jc w:val="righ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元/吨</w:t>
            </w:r>
          </w:p>
        </w:tc>
      </w:tr>
    </w:tbl>
    <w:p w14:paraId="67789379">
      <w:pPr>
        <w:keepNext w:val="0"/>
        <w:keepLines w:val="0"/>
        <w:pageBreakBefore w:val="0"/>
        <w:widowControl w:val="0"/>
        <w:tabs>
          <w:tab w:val="left" w:pos="42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em w:val="dot"/>
          <w:lang w:val="en-US" w:eastAsia="zh-CN"/>
        </w:rPr>
      </w:pPr>
      <w:r>
        <w:rPr>
          <w:rFonts w:hint="eastAsia" w:ascii="宋体" w:hAnsi="宋体" w:eastAsia="宋体" w:cs="宋体"/>
          <w:sz w:val="24"/>
          <w:szCs w:val="24"/>
          <w:em w:val="dot"/>
          <w:lang w:val="en-US" w:eastAsia="zh-CN"/>
        </w:rPr>
        <w:t>*若不涉及，则划去。根据实际在有无分包在方框内画√或者画×。</w:t>
      </w:r>
    </w:p>
    <w:p w14:paraId="2FEBDC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上述报价为含税（13%）人民币现汇出厂价格。认同竞卖公告中的所有条款，货品运输使用符合山东钢铁集团日照有限公司环保要求的车辆，并按照买方要求及时派车进行标的物的运输。车辆入厂前确保水箱排空，皮重增减前提前报备，过磅时车上仅留司机一人，严格按照规定路线行驶，听从日照公司现场人员指挥，劳保护品穿戴齐全，做好安全防护，在日照公司现场人员监护下进行装车作业，装货完成后及时退卡出厂。</w:t>
      </w:r>
    </w:p>
    <w:p w14:paraId="19B3E7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我司同意按照竞卖公告中的要求及上述承诺，承担相应的责任，</w:t>
      </w:r>
      <w:r>
        <w:rPr>
          <w:rFonts w:hint="eastAsia" w:ascii="宋体" w:hAnsi="宋体" w:eastAsia="宋体" w:cs="宋体"/>
          <w:sz w:val="24"/>
          <w:szCs w:val="24"/>
          <w:lang w:val="en-US" w:eastAsia="zh-CN"/>
        </w:rPr>
        <w:t>于开标日当天16:00前，</w:t>
      </w:r>
      <w:r>
        <w:rPr>
          <w:rFonts w:hint="eastAsia" w:ascii="宋体" w:hAnsi="宋体" w:eastAsia="宋体" w:cs="宋体"/>
          <w:sz w:val="24"/>
          <w:szCs w:val="24"/>
        </w:rPr>
        <w:t>向山东钢铁集团日照有限公司缴纳</w:t>
      </w:r>
      <w:r>
        <w:rPr>
          <w:rFonts w:hint="eastAsia" w:ascii="宋体" w:hAnsi="宋体" w:eastAsia="宋体" w:cs="宋体"/>
          <w:sz w:val="24"/>
          <w:szCs w:val="24"/>
          <w:lang w:eastAsia="zh-CN"/>
        </w:rPr>
        <w:t>___________</w:t>
      </w:r>
      <w:r>
        <w:rPr>
          <w:rFonts w:hint="eastAsia" w:ascii="宋体" w:hAnsi="宋体" w:eastAsia="宋体" w:cs="宋体"/>
          <w:sz w:val="24"/>
          <w:szCs w:val="24"/>
        </w:rPr>
        <w:t>元</w:t>
      </w:r>
      <w:r>
        <w:rPr>
          <w:rFonts w:hint="eastAsia" w:ascii="宋体" w:hAnsi="宋体" w:eastAsia="宋体" w:cs="宋体"/>
          <w:sz w:val="24"/>
          <w:szCs w:val="24"/>
          <w:lang w:val="en-US" w:eastAsia="zh-CN"/>
        </w:rPr>
        <w:t>(≥Σ【预中标单价×公告上预估单重×20%】)</w:t>
      </w:r>
      <w:r>
        <w:rPr>
          <w:rFonts w:hint="eastAsia" w:ascii="宋体" w:hAnsi="宋体" w:eastAsia="宋体" w:cs="宋体"/>
          <w:sz w:val="24"/>
          <w:szCs w:val="24"/>
        </w:rPr>
        <w:t>的预付订金。如我司不按时签署合同，缴纳所需款项，违反竞买公告及已签订合同中的条款，都将按照违约予以处理，并全额扣除该预付订金。</w:t>
      </w:r>
    </w:p>
    <w:p w14:paraId="16BF43E8">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both"/>
        <w:textAlignment w:val="auto"/>
        <w:rPr>
          <w:rFonts w:hint="eastAsia" w:ascii="宋体" w:hAnsi="宋体" w:eastAsia="宋体" w:cs="宋体"/>
          <w:b w:val="0"/>
          <w:bCs/>
          <w:color w:val="auto"/>
          <w:kern w:val="2"/>
          <w:sz w:val="24"/>
          <w:szCs w:val="24"/>
          <w:lang w:val="en-US" w:eastAsia="zh-CN" w:bidi="ar-SA"/>
        </w:rPr>
      </w:pPr>
    </w:p>
    <w:p w14:paraId="4F085592">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center"/>
        <w:textAlignment w:val="auto"/>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单位（公章）</w:t>
      </w:r>
    </w:p>
    <w:p w14:paraId="2218C5C0">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3600" w:firstLineChars="1500"/>
        <w:jc w:val="center"/>
        <w:textAlignment w:val="auto"/>
        <w:rPr>
          <w:rFonts w:hint="eastAsia" w:ascii="宋体" w:hAnsi="宋体" w:eastAsia="宋体" w:cs="宋体"/>
          <w:b w:val="0"/>
          <w:bCs w:val="0"/>
          <w:color w:val="auto"/>
          <w:kern w:val="2"/>
          <w:sz w:val="21"/>
          <w:szCs w:val="20"/>
          <w:lang w:val="en-US" w:eastAsia="zh-CN" w:bidi="ar-SA"/>
        </w:rPr>
      </w:pPr>
      <w:r>
        <w:rPr>
          <w:rFonts w:hint="eastAsia" w:ascii="宋体" w:hAnsi="宋体" w:eastAsia="宋体" w:cs="宋体"/>
          <w:b w:val="0"/>
          <w:bCs w:val="0"/>
          <w:color w:val="auto"/>
          <w:kern w:val="2"/>
          <w:sz w:val="24"/>
          <w:szCs w:val="24"/>
          <w:lang w:val="en-US" w:eastAsia="zh-CN" w:bidi="ar-SA"/>
        </w:rPr>
        <w:t>日期：_____年___月___日</w:t>
      </w:r>
    </w:p>
    <w:p w14:paraId="0B899F07">
      <w:pPr>
        <w:keepNext w:val="0"/>
        <w:keepLines w:val="0"/>
        <w:pageBreakBefore w:val="0"/>
        <w:widowControl w:val="0"/>
        <w:kinsoku/>
        <w:wordWrap w:val="0"/>
        <w:overflowPunct/>
        <w:topLinePunct w:val="0"/>
        <w:autoSpaceDE/>
        <w:autoSpaceDN/>
        <w:bidi w:val="0"/>
        <w:adjustRightInd/>
        <w:spacing w:line="520" w:lineRule="exact"/>
        <w:ind w:right="0" w:firstLine="4480" w:firstLineChars="1400"/>
        <w:jc w:val="both"/>
        <w:textAlignment w:val="auto"/>
        <w:rPr>
          <w:rFonts w:hint="default" w:ascii="仿宋_GB2312" w:hAnsi="宋体" w:eastAsia="仿宋_GB2312" w:cs="仿宋_GB2312"/>
          <w:kern w:val="0"/>
          <w:sz w:val="32"/>
          <w:szCs w:val="32"/>
          <w:lang w:val="en-US" w:eastAsia="zh-CN"/>
        </w:rPr>
        <w:sectPr>
          <w:pgSz w:w="11906" w:h="16838"/>
          <w:pgMar w:top="720" w:right="720" w:bottom="720" w:left="720" w:header="851" w:footer="992" w:gutter="0"/>
          <w:pgNumType w:fmt="decimal"/>
          <w:cols w:space="720" w:num="1"/>
          <w:docGrid w:type="lines" w:linePitch="312" w:charSpace="0"/>
        </w:sectPr>
      </w:pPr>
    </w:p>
    <w:p w14:paraId="2B36B964">
      <w:pPr>
        <w:pStyle w:val="28"/>
        <w:keepNext/>
        <w:keepLines/>
        <w:pageBreakBefore w:val="0"/>
        <w:widowControl w:val="0"/>
        <w:kinsoku/>
        <w:wordWrap/>
        <w:overflowPunct/>
        <w:topLinePunct w:val="0"/>
        <w:autoSpaceDE/>
        <w:autoSpaceDN/>
        <w:bidi w:val="0"/>
        <w:adjustRightInd/>
        <w:snapToGrid/>
        <w:spacing w:line="240" w:lineRule="atLeast"/>
        <w:ind w:left="0" w:leftChars="0" w:firstLine="420" w:firstLineChars="0"/>
        <w:textAlignment w:val="auto"/>
        <w:rPr>
          <w:rFonts w:hint="eastAsia"/>
          <w:sz w:val="24"/>
          <w:szCs w:val="24"/>
          <w:lang w:val="en-US" w:eastAsia="zh-CN"/>
        </w:rPr>
      </w:pPr>
      <w:bookmarkStart w:id="8" w:name="_Ref17633"/>
      <w:r>
        <w:rPr>
          <w:rFonts w:hint="eastAsia"/>
          <w:sz w:val="24"/>
          <w:szCs w:val="24"/>
          <w:lang w:val="en-US" w:eastAsia="zh-CN"/>
        </w:rPr>
        <w:t>廉洁诚信协议</w:t>
      </w:r>
      <w:bookmarkEnd w:id="8"/>
      <w:r>
        <w:rPr>
          <w:rFonts w:hint="eastAsia"/>
          <w:sz w:val="24"/>
          <w:szCs w:val="24"/>
          <w:lang w:val="en-US" w:eastAsia="zh-CN"/>
        </w:rPr>
        <w:t>（壹式叁份，正反单张打印）</w:t>
      </w:r>
    </w:p>
    <w:p w14:paraId="78363ECE">
      <w:pPr>
        <w:spacing w:after="0" w:line="240" w:lineRule="auto"/>
        <w:ind w:left="105" w:leftChars="50" w:right="105" w:rightChars="50"/>
        <w:jc w:val="left"/>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甲方：</w:t>
      </w:r>
      <w:r>
        <w:rPr>
          <w:rFonts w:hint="eastAsia" w:ascii="宋体" w:hAnsi="宋体" w:eastAsia="宋体" w:cs="宋体"/>
          <w:kern w:val="0"/>
          <w:sz w:val="20"/>
          <w:szCs w:val="20"/>
          <w:u w:val="single"/>
          <w:lang w:eastAsia="zh-CN"/>
        </w:rPr>
        <w:t>山东钢铁集团日照有限公司</w:t>
      </w:r>
    </w:p>
    <w:p w14:paraId="54146783">
      <w:pPr>
        <w:spacing w:after="0" w:line="240" w:lineRule="auto"/>
        <w:ind w:left="105" w:leftChars="50" w:right="105" w:rightChars="50"/>
        <w:jc w:val="left"/>
        <w:rPr>
          <w:rFonts w:hint="default" w:ascii="宋体" w:hAnsi="宋体" w:eastAsia="宋体" w:cs="宋体"/>
          <w:kern w:val="0"/>
          <w:sz w:val="20"/>
          <w:szCs w:val="20"/>
          <w:lang w:val="en-US" w:eastAsia="zh-CN"/>
        </w:rPr>
      </w:pPr>
      <w:r>
        <w:rPr>
          <w:rFonts w:hint="eastAsia" w:ascii="宋体" w:hAnsi="宋体" w:eastAsia="宋体" w:cs="宋体"/>
          <w:kern w:val="0"/>
          <w:sz w:val="20"/>
          <w:szCs w:val="20"/>
          <w:lang w:eastAsia="zh-CN"/>
        </w:rPr>
        <w:t>乙方：</w:t>
      </w:r>
      <w:r>
        <w:rPr>
          <w:rFonts w:hint="eastAsia" w:ascii="宋体" w:hAnsi="宋体" w:cs="宋体"/>
          <w:kern w:val="0"/>
          <w:sz w:val="20"/>
          <w:szCs w:val="20"/>
          <w:lang w:val="en-US" w:eastAsia="zh-CN"/>
        </w:rPr>
        <w:t>________________________</w:t>
      </w:r>
    </w:p>
    <w:p w14:paraId="33F9EA1E">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为了营造廉洁诚信的优良环境，有效防范不正当竞争与商业贿赂，保障甲乙双方合法权益，促进双方在公平、公正、透明且高效的市场竞争中实现互利共赢，依据相关法律法规和廉政建设要求，甲乙双方经友好协商，一致同意在合作期限内签署并严格遵守本协议书。</w:t>
      </w:r>
    </w:p>
    <w:p w14:paraId="15975B7D">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第一条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在合作进程中，双方必须严格遵循国家法律法规及通行的商业伦理标准，秉持高尚的职业操守，推动正当的商业交流与合作，坚决抵制一切不廉洁与不诚信的行为。本协议所指的“不廉洁与不诚信行为”涵盖任何为谋取商业机遇、竞争优势或其他不当利益而违背法律、党纪及公序良俗的行为，具体包括但不限于：</w:t>
      </w:r>
    </w:p>
    <w:p w14:paraId="6A9D9509">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（一）商业贿赂：</w:t>
      </w:r>
      <w:r>
        <w:rPr>
          <w:rFonts w:hint="eastAsia" w:ascii="宋体" w:hAnsi="宋体" w:eastAsia="宋体" w:cs="宋体"/>
          <w:kern w:val="0"/>
          <w:sz w:val="20"/>
          <w:szCs w:val="20"/>
          <w:lang w:eastAsia="zh-CN"/>
        </w:rPr>
        <w:t>为促成交易或获取商业利益，直接或间接向相关人员提供财物或其他形式的好处。</w:t>
      </w:r>
    </w:p>
    <w:p w14:paraId="3A6B772D">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（二）制假售假：</w:t>
      </w:r>
      <w:r>
        <w:rPr>
          <w:rFonts w:hint="eastAsia" w:ascii="宋体" w:hAnsi="宋体" w:eastAsia="宋体" w:cs="宋体"/>
          <w:kern w:val="0"/>
          <w:sz w:val="20"/>
          <w:szCs w:val="20"/>
          <w:lang w:eastAsia="zh-CN"/>
        </w:rPr>
        <w:t>生产或销售假冒伪劣产品，冒充正品、仿冒知名品牌，以及进行误导性宣传。</w:t>
      </w:r>
    </w:p>
    <w:p w14:paraId="47C7CB52">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（三）欺诈行为：</w:t>
      </w:r>
      <w:r>
        <w:rPr>
          <w:rFonts w:hint="eastAsia" w:ascii="宋体" w:hAnsi="宋体" w:eastAsia="宋体" w:cs="宋体"/>
          <w:kern w:val="0"/>
          <w:sz w:val="20"/>
          <w:szCs w:val="20"/>
          <w:lang w:eastAsia="zh-CN"/>
        </w:rPr>
        <w:t>利用虚假信息、不实陈述或承诺，误导合作伙伴或消费者，以获取非法利益，损害商业信任。</w:t>
      </w:r>
    </w:p>
    <w:p w14:paraId="19232724">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（四）合同违约：</w:t>
      </w:r>
      <w:r>
        <w:rPr>
          <w:rFonts w:hint="eastAsia" w:ascii="宋体" w:hAnsi="宋体" w:eastAsia="宋体" w:cs="宋体"/>
          <w:kern w:val="0"/>
          <w:sz w:val="20"/>
          <w:szCs w:val="20"/>
          <w:lang w:eastAsia="zh-CN"/>
        </w:rPr>
        <w:t>在合同签订后，恶意不履行或不完全履行合同约定义务，或无故拒绝执行合同条款。</w:t>
      </w:r>
    </w:p>
    <w:p w14:paraId="30D846B6">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（五）不正当竞争：</w:t>
      </w:r>
      <w:r>
        <w:rPr>
          <w:rFonts w:hint="eastAsia" w:ascii="宋体" w:hAnsi="宋体" w:eastAsia="宋体" w:cs="宋体"/>
          <w:kern w:val="0"/>
          <w:sz w:val="20"/>
          <w:szCs w:val="20"/>
          <w:lang w:eastAsia="zh-CN"/>
        </w:rPr>
        <w:t>在招投标过程中采取陪标、串标等不正当手段，提供虚假资料，违背承诺，以获取不正当的商业机会。</w:t>
      </w:r>
    </w:p>
    <w:p w14:paraId="198C8791">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（六）其他违法违规行为：</w:t>
      </w:r>
      <w:r>
        <w:rPr>
          <w:rFonts w:hint="eastAsia" w:ascii="宋体" w:hAnsi="宋体" w:eastAsia="宋体" w:cs="宋体"/>
          <w:kern w:val="0"/>
          <w:sz w:val="20"/>
          <w:szCs w:val="20"/>
          <w:lang w:eastAsia="zh-CN"/>
        </w:rPr>
        <w:t>任何违反国家法律法规、党纪政纪及其他相关规定的行为。</w:t>
      </w:r>
    </w:p>
    <w:p w14:paraId="711DAC35">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第二条</w:t>
      </w:r>
      <w:r>
        <w:rPr>
          <w:rFonts w:hint="eastAsia" w:ascii="宋体" w:hAnsi="宋体" w:eastAsia="宋体" w:cs="宋体"/>
          <w:kern w:val="0"/>
          <w:sz w:val="20"/>
          <w:szCs w:val="20"/>
          <w:lang w:eastAsia="zh-CN"/>
        </w:rPr>
        <w:t>甲乙双方及其工作人员在合作期间，必须严格遵守以下廉洁与诚信行为规范：</w:t>
      </w:r>
    </w:p>
    <w:p w14:paraId="1A64581B">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b/>
          <w:bCs/>
          <w:kern w:val="0"/>
          <w:sz w:val="20"/>
          <w:szCs w:val="20"/>
          <w:lang w:eastAsia="zh-CN"/>
        </w:rPr>
      </w:pPr>
      <w:r>
        <w:rPr>
          <w:rFonts w:hint="eastAsia" w:ascii="宋体" w:hAnsi="宋体" w:eastAsia="宋体" w:cs="宋体"/>
          <w:b/>
          <w:bCs/>
          <w:kern w:val="0"/>
          <w:sz w:val="20"/>
          <w:szCs w:val="20"/>
          <w:lang w:eastAsia="zh-CN"/>
        </w:rPr>
        <w:t>（一）廉洁行为准则</w:t>
      </w:r>
    </w:p>
    <w:p w14:paraId="1694B830">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1.任何一方及其工作人员（包括通过第三方）不得向对方的客户、员工及其家属等利害关系人提供或接受任何形式的物质性或非物质性不正当利益。</w:t>
      </w:r>
    </w:p>
    <w:p w14:paraId="626ABBA3">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物质性利益包括但不限于回扣、贿赂、私下佣金、借款、实物、现金及其等价物（如购物卡、提货券、有价证券等）、支票、汇票、承兑、财产性权益、旅游、宴请、免费消费等。</w:t>
      </w:r>
    </w:p>
    <w:p w14:paraId="33AD50E1">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非物质性利益涵盖难以用金钱衡量的精神利益及其他不正当好处，如解决住房、迁移户口、工作调动、职务提拔、安排出国留学、享受免费服务等，以及授予荣誉、名誉、称号、资格、地位、特权等。</w:t>
      </w:r>
    </w:p>
    <w:p w14:paraId="1B049A76">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2.具体禁止行为</w:t>
      </w:r>
    </w:p>
    <w:p w14:paraId="261AAE6C">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1）严禁向对方单位或个人及其家属、特定关系人实施或索取任何形式的商业贿赂。包括但不限于赠送或索要现金、回扣、红包、佣金、好处费、感谢费、有价证券（包括但不限于股票、债券）、股权、金融性产品（如理财产品、基金等）、贵金属（如黄金、白银等）等财物，以及烟酒、土特产、钟表首饰、玉石字画等任何形式的实物。同时，严禁假借赞助费、赠股、报销费用等名义给付对方单位或人员及其家属、特定关系人财物。（2）不得以干股分红、合作投资、高息揽储、资金出借、委托理财、无息借款、挂名领薪、业务承揽、业务合作等任何方式向对方工作人员及其家属、特定关系人进行利益输送或提供特殊便利。此外，不得违规向对方工作人员及其家属、特定关系人出借资金、委托理财等。（3）不得以显著偏离市场价格的方式购买或出售对方工作人员及其家属、特定关系人的车辆、房产、服务或其他任何物品。（4）不得由对方或关联单位承担任何应由本方或个人支付的费用。（5）不得组织或提供任何名义的旅游、宴请、娱乐等活动给对方单位或人员及其家属、特定关系人。（6）严禁徇私舞弊、滥用职权，违反程序进行招投标等活动；不得在招投标过程中提供虚假信息、伪造资质资格，不得联合其他公司进行围标、串标，或采取任何不正当手段损害对方权益。（7）不得以毁灭、伪造证据或串通等方式，帮助对方工作人员掩盖任何违纪违法事实。在双方合作过程中，若一方单位的人员或利害相关人实施上述任何行为，该行为将被视为该单位的行为，并由该单位承担相应的法律责任。若法律规定个人亦需承担相关责任，则依据法律规定进行处理。</w:t>
      </w:r>
    </w:p>
    <w:p w14:paraId="0A4A0617">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b/>
          <w:bCs/>
          <w:kern w:val="0"/>
          <w:sz w:val="20"/>
          <w:szCs w:val="20"/>
          <w:lang w:eastAsia="zh-CN"/>
        </w:rPr>
      </w:pPr>
      <w:r>
        <w:rPr>
          <w:rFonts w:hint="eastAsia" w:ascii="宋体" w:hAnsi="宋体" w:eastAsia="宋体" w:cs="宋体"/>
          <w:b/>
          <w:bCs/>
          <w:kern w:val="0"/>
          <w:sz w:val="20"/>
          <w:szCs w:val="20"/>
          <w:lang w:eastAsia="zh-CN"/>
        </w:rPr>
        <w:t>（二）不诚信行为</w:t>
      </w:r>
    </w:p>
    <w:p w14:paraId="54D862F7">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1.严禁在合同履行中弄虚作假，如供应伪劣产品、掺杂使假、以次充好、擅自改变规格型号、伪造合格证书等，确保产品质量。</w:t>
      </w:r>
    </w:p>
    <w:p w14:paraId="0C5989EE">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2.禁止违法转包、分包，以及不均衡供货、不及时供货、虚假计量、虚假签证等行为，维护合同履行的严肃性。</w:t>
      </w:r>
    </w:p>
    <w:p w14:paraId="620D2E06">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3.不得通过盗窃、合同诈骗、价格欺诈、超领冒领、不正当竞争等手段损害对方权益，保障商业环境的公平性。</w:t>
      </w:r>
    </w:p>
    <w:p w14:paraId="2EAB8FB8">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4.禁止以谋取非正当利益为目的，与对方工作人员进行私下商谈或达成利益默契，确保业务合作的公开透明。</w:t>
      </w:r>
    </w:p>
    <w:p w14:paraId="06B56322">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5.严禁利用非法手段打探、窃取或泄露对方商业秘密，尊重并保护对方的商业利益。</w:t>
      </w:r>
    </w:p>
    <w:p w14:paraId="77A8C84B">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6.不得利用社会关系违规插手和干预对方的正常经营活动，维护商业竞争的公平性。</w:t>
      </w:r>
    </w:p>
    <w:p w14:paraId="2118E740">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7.乙方的股东、监事、经理、高级管理人员、合作项目负责人及项目成员系甲方股东、员工、客户或其利害相关人员的，乙方应在合作前以书面方式如实、全面告知甲方。不得存在干扰正常交易的行为。</w:t>
      </w:r>
    </w:p>
    <w:p w14:paraId="536C3B6B">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8.各方应保证及督促其董事、监事、高级管理人员及员工在合作过程中严格依法依规履行职责、遵守职业纪律和职业道德，遵纪守法、尽职尽责、诚实守信。</w:t>
      </w:r>
    </w:p>
    <w:p w14:paraId="6C22C359">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第三条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双方应秉持诚信合作的原则，积极协助和配合对方的监督检查工作。若任何一方发现对方及其工作人员存在第一条、第二条所明确禁止的行为时，应立即在事发后通知对方，并主动向对方的监督检查部门进行投诉或举报，举报人应提供尽可能详细的信息和证据。为便于及时有效处理，甲方特提供以下举报渠道：</w:t>
      </w:r>
    </w:p>
    <w:p w14:paraId="54440905">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default" w:ascii="宋体" w:hAnsi="宋体" w:eastAsia="宋体" w:cs="宋体"/>
          <w:kern w:val="0"/>
          <w:sz w:val="20"/>
          <w:szCs w:val="20"/>
          <w:lang w:val="en-US" w:eastAsia="zh-CN"/>
        </w:rPr>
      </w:pPr>
      <w:r>
        <w:rPr>
          <w:rFonts w:hint="eastAsia" w:ascii="宋体" w:hAnsi="宋体" w:eastAsia="宋体" w:cs="宋体"/>
          <w:kern w:val="0"/>
          <w:sz w:val="20"/>
          <w:szCs w:val="20"/>
          <w:lang w:eastAsia="zh-CN"/>
        </w:rPr>
        <w:drawing>
          <wp:anchor distT="0" distB="0" distL="114300" distR="114300" simplePos="0" relativeHeight="251661312" behindDoc="0" locked="0" layoutInCell="1" allowOverlap="1">
            <wp:simplePos x="0" y="0"/>
            <wp:positionH relativeFrom="column">
              <wp:posOffset>5779770</wp:posOffset>
            </wp:positionH>
            <wp:positionV relativeFrom="paragraph">
              <wp:posOffset>-132080</wp:posOffset>
            </wp:positionV>
            <wp:extent cx="656590" cy="656590"/>
            <wp:effectExtent l="0" t="0" r="3810" b="38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56590" cy="656590"/>
                    </a:xfrm>
                    <a:prstGeom prst="rect">
                      <a:avLst/>
                    </a:prstGeom>
                    <a:noFill/>
                    <a:ln>
                      <a:noFill/>
                    </a:ln>
                  </pic:spPr>
                </pic:pic>
              </a:graphicData>
            </a:graphic>
          </wp:anchor>
        </w:drawing>
      </w:r>
      <w:r>
        <w:rPr>
          <w:rFonts w:hint="eastAsia" w:ascii="宋体" w:hAnsi="宋体" w:eastAsia="宋体" w:cs="宋体"/>
          <w:kern w:val="0"/>
          <w:sz w:val="20"/>
          <w:szCs w:val="20"/>
          <w:lang w:eastAsia="zh-CN"/>
        </w:rPr>
        <w:t>举报电话：0633-7920333</w:t>
      </w:r>
      <w:r>
        <w:rPr>
          <w:rFonts w:hint="eastAsia" w:ascii="宋体" w:hAnsi="宋体" w:eastAsia="宋体" w:cs="宋体"/>
          <w:kern w:val="0"/>
          <w:sz w:val="20"/>
          <w:szCs w:val="20"/>
          <w:lang w:val="en-US" w:eastAsia="zh-CN"/>
        </w:rPr>
        <w:t>;</w:t>
      </w:r>
      <w:r>
        <w:rPr>
          <w:rFonts w:hint="eastAsia" w:ascii="宋体" w:hAnsi="宋体" w:eastAsia="宋体" w:cs="宋体"/>
          <w:kern w:val="0"/>
          <w:sz w:val="20"/>
          <w:szCs w:val="20"/>
          <w:lang w:eastAsia="zh-CN"/>
        </w:rPr>
        <w:t>电子邮箱：sgrzjw7920333@sdsteelrz.com</w:t>
      </w:r>
      <w:r>
        <w:rPr>
          <w:rFonts w:hint="eastAsia" w:ascii="宋体" w:hAnsi="宋体" w:cs="宋体"/>
          <w:kern w:val="0"/>
          <w:sz w:val="20"/>
          <w:szCs w:val="20"/>
          <w:lang w:val="en-US" w:eastAsia="zh-CN"/>
        </w:rPr>
        <w:t>;</w:t>
      </w:r>
    </w:p>
    <w:p w14:paraId="2DBB0E82">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来信地址：山东省日照市东港区临钢路1号山东钢铁集团日照有限公司纪委，邮编：276800。</w:t>
      </w:r>
    </w:p>
    <w:p w14:paraId="77841F58">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山钢股份纪委在线举报平台：使用手机扫描下方二维码，进入页面填写信息进行举报。</w:t>
      </w:r>
    </w:p>
    <w:p w14:paraId="254B0620">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对于乙方而言，无论其是主动还是被动涉及第一条、第二条所述的行为，只要乙方或乙方员工能够主动向甲方提供有效且有价值的信息，甲方将秉持公正、宽容的态度，考虑与乙方继续合作，在一定条件下减免乙方的违约责任，并依规对提供有效信息的相关人员给予相应的奖励。对于此类情形的具体处理，甲方拥有完全的判断权和自主权，乙方对此表示认可，并自愿接受甲方的处理结果。</w:t>
      </w:r>
    </w:p>
    <w:p w14:paraId="33167C84">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为确保举报人的安全和积极性，双方监督检查部门应对举报人的身份、举报内容及调查过程严格保密。对于因举报而遭受打击报复的举报人，监督检查部门应提供必要的支持和保护，并协助其维护合法权益。</w:t>
      </w:r>
    </w:p>
    <w:p w14:paraId="00B3B2AB">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第四条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双方的监督检查部门或其授权的人员对本廉洁诚信协议的执行情况进行监督。</w:t>
      </w:r>
    </w:p>
    <w:p w14:paraId="08D9EE04">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第五条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如甲方工作人员违反本协议第二条之规定，甲方将严格依据企业内部相关规章制度对涉事人员进行严肃处理。若其行为构成违纪，将依照相关纪律规定给予党纪处分、政务处分或组织处理。若涉嫌违法犯罪，则依法移交司法机关进行查处。</w:t>
      </w:r>
    </w:p>
    <w:p w14:paraId="2B8CC328">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第六条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乙方及乙方工作人员在双方经济业务往来存续期间，应自觉遵守本协议约定，对于违反本协议约定行为的，乙方应承担相应的违约责任，甲方则有权采取以下一项或多项措施：</w:t>
      </w:r>
    </w:p>
    <w:p w14:paraId="5561C98F">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（一）暂停付款</w:t>
      </w:r>
      <w:r>
        <w:rPr>
          <w:rFonts w:hint="eastAsia" w:ascii="宋体" w:hAnsi="宋体" w:eastAsia="宋体" w:cs="宋体"/>
          <w:kern w:val="0"/>
          <w:sz w:val="20"/>
          <w:szCs w:val="20"/>
          <w:lang w:eastAsia="zh-CN"/>
        </w:rPr>
        <w:t>在乙方、乙方工作人员或利害相关人涉嫌侵害甲方利益的调查期间，甲方有权暂停向乙方支付款项。乙方不得以此为由中止合同履行，否则因乙方违约行为给甲方生产经营造成的任何损失，乙方均需承担全额赔偿责任。</w:t>
      </w:r>
    </w:p>
    <w:p w14:paraId="1391EBBE">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（二）违约金与赔偿</w:t>
      </w:r>
      <w:r>
        <w:rPr>
          <w:rFonts w:hint="eastAsia" w:ascii="宋体" w:hAnsi="宋体" w:eastAsia="宋体" w:cs="宋体"/>
          <w:kern w:val="0"/>
          <w:sz w:val="20"/>
          <w:szCs w:val="20"/>
          <w:lang w:eastAsia="zh-CN"/>
        </w:rPr>
        <w:t>若乙方因不诚信、违规违纪或违法犯罪等行为违反了第一条、第二条约定，需根据本协议约定向甲方支付违约金。本协议中所约定的违约金具有惩罚性质，乙方对此表示完全理解并接受，在任何情况下，乙方均承诺将严格按照本条款的约定全额支付违约金。违约金扣除原则如下：</w:t>
      </w:r>
    </w:p>
    <w:p w14:paraId="600DA233">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若乙方在所涉及的违约合同中已向甲方支付履约保证金的，甲方有权优先从保证金中扣除违约金；保证金不足部分，甲方有权从应付款中继续扣除。若乙方未支付履约保证金，甲方有权从应付款中直接扣除全部违约金。</w:t>
      </w:r>
    </w:p>
    <w:p w14:paraId="061477FD">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若从履约保证金和甲方应向乙方支付的款项中扣除的违约金总额不足以弥补甲方所受损失的，乙方还需另行赔偿甲方因此遭受的全部经济损失及追偿损失所产生的所有费用。甲方保留通过诉讼等法律手段追偿损失的权利。</w:t>
      </w:r>
    </w:p>
    <w:p w14:paraId="23284F1E">
      <w:pPr>
        <w:keepNext w:val="0"/>
        <w:keepLines w:val="0"/>
        <w:pageBreakBefore w:val="0"/>
        <w:widowControl w:val="0"/>
        <w:kinsoku/>
        <w:wordWrap/>
        <w:overflowPunct/>
        <w:topLinePunct w:val="0"/>
        <w:autoSpaceDE/>
        <w:autoSpaceDN/>
        <w:bidi w:val="0"/>
        <w:adjustRightInd/>
        <w:spacing w:after="0" w:line="280" w:lineRule="exact"/>
        <w:ind w:left="590" w:right="105" w:rightChars="50"/>
        <w:jc w:val="left"/>
        <w:textAlignment w:val="auto"/>
        <w:rPr>
          <w:rFonts w:hint="eastAsia" w:ascii="宋体" w:hAnsi="宋体" w:eastAsia="宋体" w:cs="宋体"/>
          <w:b/>
          <w:bCs/>
          <w:kern w:val="0"/>
          <w:sz w:val="20"/>
          <w:szCs w:val="20"/>
          <w:lang w:eastAsia="zh-CN"/>
        </w:rPr>
      </w:pPr>
      <w:r>
        <w:rPr>
          <w:rFonts w:hint="eastAsia" w:ascii="宋体" w:hAnsi="宋体" w:eastAsia="宋体" w:cs="宋体"/>
          <w:b/>
          <w:bCs/>
          <w:kern w:val="0"/>
          <w:sz w:val="20"/>
          <w:szCs w:val="20"/>
          <w:lang w:eastAsia="zh-CN"/>
        </w:rPr>
        <w:t>1.违约金计算基础</w:t>
      </w:r>
    </w:p>
    <w:p w14:paraId="2D3FE28A">
      <w:pPr>
        <w:keepNext w:val="0"/>
        <w:keepLines w:val="0"/>
        <w:pageBreakBefore w:val="0"/>
        <w:widowControl w:val="0"/>
        <w:kinsoku/>
        <w:wordWrap/>
        <w:overflowPunct/>
        <w:topLinePunct w:val="0"/>
        <w:autoSpaceDE/>
        <w:autoSpaceDN/>
        <w:bidi w:val="0"/>
        <w:adjustRightInd/>
        <w:spacing w:after="0" w:line="280" w:lineRule="exact"/>
        <w:ind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以甲方与乙方之间签订并履行的所涉违规、违纪、违法犯罪等行为业务合同金额总额为计算基础。</w:t>
      </w:r>
    </w:p>
    <w:p w14:paraId="06E29B02">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b/>
          <w:bCs/>
          <w:kern w:val="0"/>
          <w:sz w:val="20"/>
          <w:szCs w:val="20"/>
          <w:lang w:eastAsia="zh-CN"/>
        </w:rPr>
      </w:pPr>
      <w:r>
        <w:rPr>
          <w:rFonts w:hint="eastAsia" w:ascii="宋体" w:hAnsi="宋体" w:eastAsia="宋体" w:cs="宋体"/>
          <w:b/>
          <w:bCs/>
          <w:kern w:val="0"/>
          <w:sz w:val="20"/>
          <w:szCs w:val="20"/>
          <w:lang w:eastAsia="zh-CN"/>
        </w:rPr>
        <w:t>2.违约金比例</w:t>
      </w:r>
    </w:p>
    <w:p w14:paraId="3E614B28">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（1）经查证属实，乙方行为尚未构成犯罪或未造成甲方工作人员被追究刑事责任的，乙方按照下述方式累计计算并支付违约金:</w:t>
      </w:r>
    </w:p>
    <w:p w14:paraId="358D168C">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对于合同金额，100万元以下（含100万元）的部分，违约金为10万元（违约金总额高于合同额，以合同额为限）。</w:t>
      </w:r>
    </w:p>
    <w:p w14:paraId="00A6CA9C">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100万元以上的按照下述比例分段累计计算违约金，具体比例如下。</w:t>
      </w:r>
    </w:p>
    <w:tbl>
      <w:tblPr>
        <w:tblStyle w:val="16"/>
        <w:tblW w:w="4500" w:type="pct"/>
        <w:jc w:val="center"/>
        <w:tblLayout w:type="autofit"/>
        <w:tblCellMar>
          <w:top w:w="0" w:type="dxa"/>
          <w:left w:w="0" w:type="dxa"/>
          <w:bottom w:w="0" w:type="dxa"/>
          <w:right w:w="0" w:type="dxa"/>
        </w:tblCellMar>
      </w:tblPr>
      <w:tblGrid>
        <w:gridCol w:w="6716"/>
        <w:gridCol w:w="3495"/>
      </w:tblGrid>
      <w:tr w14:paraId="4ED74F3E">
        <w:tblPrEx>
          <w:tblCellMar>
            <w:top w:w="0" w:type="dxa"/>
            <w:left w:w="0" w:type="dxa"/>
            <w:bottom w:w="0" w:type="dxa"/>
            <w:right w:w="0" w:type="dxa"/>
          </w:tblCellMar>
        </w:tblPrEx>
        <w:trPr>
          <w:trHeight w:val="263" w:hRule="atLeast"/>
          <w:jc w:val="center"/>
        </w:trPr>
        <w:tc>
          <w:tcPr>
            <w:tcW w:w="3288" w:type="pct"/>
            <w:tcBorders>
              <w:top w:val="single" w:color="000000" w:sz="2" w:space="0"/>
              <w:left w:val="single" w:color="000000" w:sz="2" w:space="0"/>
              <w:bottom w:val="single" w:color="000000" w:sz="2" w:space="0"/>
              <w:right w:val="single" w:color="000000" w:sz="2" w:space="0"/>
            </w:tcBorders>
            <w:vAlign w:val="center"/>
          </w:tcPr>
          <w:p w14:paraId="2232EE3F">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合</w:t>
            </w:r>
            <w:r>
              <w:rPr>
                <w:rFonts w:hint="eastAsia" w:ascii="宋体" w:hAnsi="宋体" w:eastAsia="宋体" w:cs="宋体"/>
                <w:spacing w:val="-3"/>
                <w:kern w:val="0"/>
                <w:sz w:val="20"/>
                <w:szCs w:val="20"/>
                <w:lang w:eastAsia="zh-CN"/>
              </w:rPr>
              <w:t>同</w:t>
            </w:r>
            <w:r>
              <w:rPr>
                <w:rFonts w:hint="eastAsia" w:ascii="宋体" w:hAnsi="宋体" w:eastAsia="宋体" w:cs="宋体"/>
                <w:kern w:val="0"/>
                <w:sz w:val="20"/>
                <w:szCs w:val="20"/>
                <w:lang w:eastAsia="zh-CN"/>
              </w:rPr>
              <w:t>金额</w:t>
            </w:r>
            <w:r>
              <w:rPr>
                <w:rFonts w:hint="eastAsia" w:ascii="宋体" w:hAnsi="宋体" w:eastAsia="宋体" w:cs="宋体"/>
                <w:spacing w:val="-3"/>
                <w:kern w:val="0"/>
                <w:sz w:val="20"/>
                <w:szCs w:val="20"/>
                <w:lang w:eastAsia="zh-CN"/>
              </w:rPr>
              <w:t>范</w:t>
            </w:r>
            <w:r>
              <w:rPr>
                <w:rFonts w:hint="eastAsia" w:ascii="宋体" w:hAnsi="宋体" w:eastAsia="宋体" w:cs="宋体"/>
                <w:kern w:val="0"/>
                <w:sz w:val="20"/>
                <w:szCs w:val="20"/>
                <w:lang w:eastAsia="zh-CN"/>
              </w:rPr>
              <w:t>围（</w:t>
            </w:r>
            <w:r>
              <w:rPr>
                <w:rFonts w:hint="eastAsia" w:ascii="宋体" w:hAnsi="宋体" w:eastAsia="宋体" w:cs="宋体"/>
                <w:spacing w:val="-3"/>
                <w:kern w:val="0"/>
                <w:sz w:val="20"/>
                <w:szCs w:val="20"/>
                <w:lang w:eastAsia="zh-CN"/>
              </w:rPr>
              <w:t>人</w:t>
            </w:r>
            <w:r>
              <w:rPr>
                <w:rFonts w:hint="eastAsia" w:ascii="宋体" w:hAnsi="宋体" w:eastAsia="宋体" w:cs="宋体"/>
                <w:kern w:val="0"/>
                <w:sz w:val="20"/>
                <w:szCs w:val="20"/>
                <w:lang w:eastAsia="zh-CN"/>
              </w:rPr>
              <w:t>民币）</w:t>
            </w:r>
          </w:p>
        </w:tc>
        <w:tc>
          <w:tcPr>
            <w:tcW w:w="1711" w:type="pct"/>
            <w:tcBorders>
              <w:top w:val="single" w:color="000000" w:sz="2" w:space="0"/>
              <w:left w:val="single" w:color="000000" w:sz="2" w:space="0"/>
              <w:bottom w:val="single" w:color="000000" w:sz="2" w:space="0"/>
              <w:right w:val="single" w:color="000000" w:sz="2" w:space="0"/>
            </w:tcBorders>
            <w:vAlign w:val="center"/>
          </w:tcPr>
          <w:p w14:paraId="4369D9DA">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违</w:t>
            </w:r>
            <w:r>
              <w:rPr>
                <w:rFonts w:hint="eastAsia" w:ascii="宋体" w:hAnsi="宋体" w:eastAsia="宋体" w:cs="宋体"/>
                <w:spacing w:val="-3"/>
                <w:kern w:val="0"/>
                <w:sz w:val="20"/>
                <w:szCs w:val="20"/>
                <w:lang w:eastAsia="zh-CN"/>
              </w:rPr>
              <w:t>约</w:t>
            </w:r>
            <w:r>
              <w:rPr>
                <w:rFonts w:hint="eastAsia" w:ascii="宋体" w:hAnsi="宋体" w:eastAsia="宋体" w:cs="宋体"/>
                <w:kern w:val="0"/>
                <w:sz w:val="20"/>
                <w:szCs w:val="20"/>
                <w:lang w:eastAsia="zh-CN"/>
              </w:rPr>
              <w:t>金比</w:t>
            </w:r>
            <w:r>
              <w:rPr>
                <w:rFonts w:hint="eastAsia" w:ascii="宋体" w:hAnsi="宋体" w:eastAsia="宋体" w:cs="宋体"/>
                <w:spacing w:val="-3"/>
                <w:kern w:val="0"/>
                <w:sz w:val="20"/>
                <w:szCs w:val="20"/>
                <w:lang w:eastAsia="zh-CN"/>
              </w:rPr>
              <w:t>例</w:t>
            </w:r>
            <w:r>
              <w:rPr>
                <w:rFonts w:hint="eastAsia" w:ascii="宋体" w:hAnsi="宋体" w:eastAsia="宋体" w:cs="宋体"/>
                <w:kern w:val="0"/>
                <w:sz w:val="20"/>
                <w:szCs w:val="20"/>
                <w:lang w:eastAsia="zh-CN"/>
              </w:rPr>
              <w:t>（合</w:t>
            </w:r>
            <w:r>
              <w:rPr>
                <w:rFonts w:hint="eastAsia" w:ascii="宋体" w:hAnsi="宋体" w:eastAsia="宋体" w:cs="宋体"/>
                <w:spacing w:val="-3"/>
                <w:kern w:val="0"/>
                <w:sz w:val="20"/>
                <w:szCs w:val="20"/>
                <w:lang w:eastAsia="zh-CN"/>
              </w:rPr>
              <w:t>同</w:t>
            </w:r>
            <w:r>
              <w:rPr>
                <w:rFonts w:hint="eastAsia" w:ascii="宋体" w:hAnsi="宋体" w:eastAsia="宋体" w:cs="宋体"/>
                <w:kern w:val="0"/>
                <w:sz w:val="20"/>
                <w:szCs w:val="20"/>
                <w:lang w:eastAsia="zh-CN"/>
              </w:rPr>
              <w:t>金额</w:t>
            </w:r>
            <w:r>
              <w:rPr>
                <w:rFonts w:hint="eastAsia" w:ascii="宋体" w:hAnsi="宋体" w:eastAsia="宋体" w:cs="宋体"/>
                <w:spacing w:val="-3"/>
                <w:kern w:val="0"/>
                <w:sz w:val="20"/>
                <w:szCs w:val="20"/>
                <w:lang w:eastAsia="zh-CN"/>
              </w:rPr>
              <w:t>的</w:t>
            </w:r>
            <w:r>
              <w:rPr>
                <w:rFonts w:hint="eastAsia" w:ascii="宋体" w:hAnsi="宋体" w:eastAsia="宋体" w:cs="宋体"/>
                <w:w w:val="57"/>
                <w:kern w:val="0"/>
                <w:sz w:val="20"/>
                <w:szCs w:val="20"/>
                <w:lang w:eastAsia="zh-CN"/>
              </w:rPr>
              <w:t>%</w:t>
            </w:r>
            <w:r>
              <w:rPr>
                <w:rFonts w:hint="eastAsia" w:ascii="宋体" w:hAnsi="宋体" w:eastAsia="宋体" w:cs="宋体"/>
                <w:kern w:val="0"/>
                <w:sz w:val="20"/>
                <w:szCs w:val="20"/>
                <w:lang w:eastAsia="zh-CN"/>
              </w:rPr>
              <w:t>）</w:t>
            </w:r>
          </w:p>
        </w:tc>
      </w:tr>
      <w:tr w14:paraId="6536E893">
        <w:tblPrEx>
          <w:tblCellMar>
            <w:top w:w="0" w:type="dxa"/>
            <w:left w:w="0" w:type="dxa"/>
            <w:bottom w:w="0" w:type="dxa"/>
            <w:right w:w="0" w:type="dxa"/>
          </w:tblCellMar>
        </w:tblPrEx>
        <w:trPr>
          <w:trHeight w:val="263" w:hRule="atLeast"/>
          <w:jc w:val="center"/>
        </w:trPr>
        <w:tc>
          <w:tcPr>
            <w:tcW w:w="3288" w:type="pct"/>
            <w:tcBorders>
              <w:top w:val="single" w:color="000000" w:sz="2" w:space="0"/>
              <w:left w:val="single" w:color="000000" w:sz="2" w:space="0"/>
              <w:bottom w:val="single" w:color="000000" w:sz="2" w:space="0"/>
              <w:right w:val="single" w:color="000000" w:sz="2" w:space="0"/>
            </w:tcBorders>
            <w:vAlign w:val="center"/>
          </w:tcPr>
          <w:p w14:paraId="3507EF91">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spacing w:val="-2"/>
                <w:w w:val="85"/>
                <w:kern w:val="0"/>
                <w:sz w:val="20"/>
                <w:szCs w:val="20"/>
                <w:lang w:eastAsia="en-US"/>
              </w:rPr>
              <w:t>1</w:t>
            </w:r>
            <w:r>
              <w:rPr>
                <w:rFonts w:hint="eastAsia" w:ascii="宋体" w:hAnsi="宋体" w:eastAsia="宋体" w:cs="宋体"/>
                <w:w w:val="85"/>
                <w:kern w:val="0"/>
                <w:sz w:val="20"/>
                <w:szCs w:val="20"/>
                <w:lang w:eastAsia="en-US"/>
              </w:rPr>
              <w:t>00</w:t>
            </w:r>
            <w:r>
              <w:rPr>
                <w:rFonts w:hint="eastAsia" w:ascii="宋体" w:hAnsi="宋体" w:eastAsia="宋体" w:cs="宋体"/>
                <w:kern w:val="0"/>
                <w:sz w:val="20"/>
                <w:szCs w:val="20"/>
                <w:lang w:eastAsia="en-US"/>
              </w:rPr>
              <w:t>万元以上至</w:t>
            </w:r>
            <w:r>
              <w:rPr>
                <w:rFonts w:hint="eastAsia" w:ascii="宋体" w:hAnsi="宋体" w:eastAsia="宋体" w:cs="宋体"/>
                <w:spacing w:val="-2"/>
                <w:w w:val="85"/>
                <w:kern w:val="0"/>
                <w:sz w:val="20"/>
                <w:szCs w:val="20"/>
                <w:lang w:eastAsia="en-US"/>
              </w:rPr>
              <w:t>5</w:t>
            </w:r>
            <w:r>
              <w:rPr>
                <w:rFonts w:hint="eastAsia" w:ascii="宋体" w:hAnsi="宋体" w:eastAsia="宋体" w:cs="宋体"/>
                <w:w w:val="85"/>
                <w:kern w:val="0"/>
                <w:sz w:val="20"/>
                <w:szCs w:val="20"/>
                <w:lang w:eastAsia="en-US"/>
              </w:rPr>
              <w:t>00</w:t>
            </w:r>
            <w:r>
              <w:rPr>
                <w:rFonts w:hint="eastAsia" w:ascii="宋体" w:hAnsi="宋体" w:eastAsia="宋体" w:cs="宋体"/>
                <w:kern w:val="0"/>
                <w:sz w:val="20"/>
                <w:szCs w:val="20"/>
                <w:lang w:eastAsia="en-US"/>
              </w:rPr>
              <w:t>万元以下（含</w:t>
            </w:r>
            <w:r>
              <w:rPr>
                <w:rFonts w:hint="eastAsia" w:ascii="宋体" w:hAnsi="宋体" w:eastAsia="宋体" w:cs="宋体"/>
                <w:spacing w:val="-2"/>
                <w:w w:val="85"/>
                <w:kern w:val="0"/>
                <w:sz w:val="20"/>
                <w:szCs w:val="20"/>
                <w:lang w:eastAsia="en-US"/>
              </w:rPr>
              <w:t>5</w:t>
            </w:r>
            <w:r>
              <w:rPr>
                <w:rFonts w:hint="eastAsia" w:ascii="宋体" w:hAnsi="宋体" w:eastAsia="宋体" w:cs="宋体"/>
                <w:w w:val="85"/>
                <w:kern w:val="0"/>
                <w:sz w:val="20"/>
                <w:szCs w:val="20"/>
                <w:lang w:eastAsia="en-US"/>
              </w:rPr>
              <w:t>00</w:t>
            </w:r>
            <w:r>
              <w:rPr>
                <w:rFonts w:hint="eastAsia" w:ascii="宋体" w:hAnsi="宋体" w:eastAsia="宋体" w:cs="宋体"/>
                <w:kern w:val="0"/>
                <w:sz w:val="20"/>
                <w:szCs w:val="20"/>
                <w:lang w:eastAsia="en-US"/>
              </w:rPr>
              <w:t>万元）部分</w:t>
            </w:r>
          </w:p>
        </w:tc>
        <w:tc>
          <w:tcPr>
            <w:tcW w:w="1711" w:type="pct"/>
            <w:tcBorders>
              <w:top w:val="single" w:color="000000" w:sz="2" w:space="0"/>
              <w:left w:val="single" w:color="000000" w:sz="2" w:space="0"/>
              <w:bottom w:val="single" w:color="000000" w:sz="2" w:space="0"/>
              <w:right w:val="single" w:color="000000" w:sz="2" w:space="0"/>
            </w:tcBorders>
            <w:vAlign w:val="center"/>
          </w:tcPr>
          <w:p w14:paraId="0C7E52B0">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w w:val="86"/>
                <w:kern w:val="0"/>
                <w:sz w:val="20"/>
                <w:szCs w:val="20"/>
                <w:lang w:eastAsia="en-US"/>
              </w:rPr>
              <w:t>5</w:t>
            </w:r>
          </w:p>
        </w:tc>
      </w:tr>
      <w:tr w14:paraId="0F030CE3">
        <w:tblPrEx>
          <w:tblCellMar>
            <w:top w:w="0" w:type="dxa"/>
            <w:left w:w="0" w:type="dxa"/>
            <w:bottom w:w="0" w:type="dxa"/>
            <w:right w:w="0" w:type="dxa"/>
          </w:tblCellMar>
        </w:tblPrEx>
        <w:trPr>
          <w:trHeight w:val="263" w:hRule="atLeast"/>
          <w:jc w:val="center"/>
        </w:trPr>
        <w:tc>
          <w:tcPr>
            <w:tcW w:w="3288" w:type="pct"/>
            <w:tcBorders>
              <w:top w:val="single" w:color="000000" w:sz="2" w:space="0"/>
              <w:left w:val="single" w:color="000000" w:sz="2" w:space="0"/>
              <w:bottom w:val="single" w:color="000000" w:sz="2" w:space="0"/>
              <w:right w:val="single" w:color="000000" w:sz="2" w:space="0"/>
            </w:tcBorders>
            <w:vAlign w:val="center"/>
          </w:tcPr>
          <w:p w14:paraId="068549EA">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spacing w:val="-2"/>
                <w:w w:val="85"/>
                <w:kern w:val="0"/>
                <w:sz w:val="20"/>
                <w:szCs w:val="20"/>
                <w:lang w:eastAsia="en-US"/>
              </w:rPr>
              <w:t>5</w:t>
            </w:r>
            <w:r>
              <w:rPr>
                <w:rFonts w:hint="eastAsia" w:ascii="宋体" w:hAnsi="宋体" w:eastAsia="宋体" w:cs="宋体"/>
                <w:w w:val="85"/>
                <w:kern w:val="0"/>
                <w:sz w:val="20"/>
                <w:szCs w:val="20"/>
                <w:lang w:eastAsia="en-US"/>
              </w:rPr>
              <w:t>00</w:t>
            </w:r>
            <w:r>
              <w:rPr>
                <w:rFonts w:hint="eastAsia" w:ascii="宋体" w:hAnsi="宋体" w:eastAsia="宋体" w:cs="宋体"/>
                <w:kern w:val="0"/>
                <w:sz w:val="20"/>
                <w:szCs w:val="20"/>
                <w:lang w:eastAsia="en-US"/>
              </w:rPr>
              <w:t>万元以上至</w:t>
            </w:r>
            <w:r>
              <w:rPr>
                <w:rFonts w:hint="eastAsia" w:ascii="宋体" w:hAnsi="宋体" w:eastAsia="宋体" w:cs="宋体"/>
                <w:spacing w:val="-2"/>
                <w:w w:val="85"/>
                <w:kern w:val="0"/>
                <w:sz w:val="20"/>
                <w:szCs w:val="20"/>
                <w:lang w:eastAsia="en-US"/>
              </w:rPr>
              <w:t>1</w:t>
            </w:r>
            <w:r>
              <w:rPr>
                <w:rFonts w:hint="eastAsia" w:ascii="宋体" w:hAnsi="宋体" w:eastAsia="宋体" w:cs="宋体"/>
                <w:w w:val="85"/>
                <w:kern w:val="0"/>
                <w:sz w:val="20"/>
                <w:szCs w:val="20"/>
                <w:lang w:eastAsia="en-US"/>
              </w:rPr>
              <w:t>000</w:t>
            </w:r>
            <w:r>
              <w:rPr>
                <w:rFonts w:hint="eastAsia" w:ascii="宋体" w:hAnsi="宋体" w:eastAsia="宋体" w:cs="宋体"/>
                <w:kern w:val="0"/>
                <w:sz w:val="20"/>
                <w:szCs w:val="20"/>
                <w:lang w:eastAsia="en-US"/>
              </w:rPr>
              <w:t>万元以下（含</w:t>
            </w:r>
            <w:r>
              <w:rPr>
                <w:rFonts w:hint="eastAsia" w:ascii="宋体" w:hAnsi="宋体" w:eastAsia="宋体" w:cs="宋体"/>
                <w:spacing w:val="-2"/>
                <w:w w:val="85"/>
                <w:kern w:val="0"/>
                <w:sz w:val="20"/>
                <w:szCs w:val="20"/>
                <w:lang w:eastAsia="en-US"/>
              </w:rPr>
              <w:t>1</w:t>
            </w:r>
            <w:r>
              <w:rPr>
                <w:rFonts w:hint="eastAsia" w:ascii="宋体" w:hAnsi="宋体" w:eastAsia="宋体" w:cs="宋体"/>
                <w:w w:val="85"/>
                <w:kern w:val="0"/>
                <w:sz w:val="20"/>
                <w:szCs w:val="20"/>
                <w:lang w:eastAsia="en-US"/>
              </w:rPr>
              <w:t>000</w:t>
            </w:r>
            <w:r>
              <w:rPr>
                <w:rFonts w:hint="eastAsia" w:ascii="宋体" w:hAnsi="宋体" w:eastAsia="宋体" w:cs="宋体"/>
                <w:kern w:val="0"/>
                <w:sz w:val="20"/>
                <w:szCs w:val="20"/>
                <w:lang w:eastAsia="en-US"/>
              </w:rPr>
              <w:t>万元）部分</w:t>
            </w:r>
          </w:p>
        </w:tc>
        <w:tc>
          <w:tcPr>
            <w:tcW w:w="1711" w:type="pct"/>
            <w:tcBorders>
              <w:top w:val="single" w:color="000000" w:sz="2" w:space="0"/>
              <w:left w:val="single" w:color="000000" w:sz="2" w:space="0"/>
              <w:bottom w:val="single" w:color="000000" w:sz="2" w:space="0"/>
              <w:right w:val="single" w:color="000000" w:sz="2" w:space="0"/>
            </w:tcBorders>
            <w:vAlign w:val="center"/>
          </w:tcPr>
          <w:p w14:paraId="427148CF">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w w:val="86"/>
                <w:kern w:val="0"/>
                <w:sz w:val="20"/>
                <w:szCs w:val="20"/>
                <w:lang w:eastAsia="en-US"/>
              </w:rPr>
              <w:t>4</w:t>
            </w:r>
          </w:p>
        </w:tc>
      </w:tr>
      <w:tr w14:paraId="453A9E9D">
        <w:tblPrEx>
          <w:tblCellMar>
            <w:top w:w="0" w:type="dxa"/>
            <w:left w:w="0" w:type="dxa"/>
            <w:bottom w:w="0" w:type="dxa"/>
            <w:right w:w="0" w:type="dxa"/>
          </w:tblCellMar>
        </w:tblPrEx>
        <w:trPr>
          <w:trHeight w:val="263" w:hRule="atLeast"/>
          <w:jc w:val="center"/>
        </w:trPr>
        <w:tc>
          <w:tcPr>
            <w:tcW w:w="3288" w:type="pct"/>
            <w:tcBorders>
              <w:top w:val="single" w:color="000000" w:sz="2" w:space="0"/>
              <w:left w:val="single" w:color="000000" w:sz="2" w:space="0"/>
              <w:bottom w:val="single" w:color="000000" w:sz="2" w:space="0"/>
              <w:right w:val="single" w:color="000000" w:sz="2" w:space="0"/>
            </w:tcBorders>
            <w:vAlign w:val="center"/>
          </w:tcPr>
          <w:p w14:paraId="03121239">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spacing w:val="-2"/>
                <w:w w:val="85"/>
                <w:kern w:val="0"/>
                <w:sz w:val="20"/>
                <w:szCs w:val="20"/>
                <w:lang w:eastAsia="en-US"/>
              </w:rPr>
              <w:t>1</w:t>
            </w:r>
            <w:r>
              <w:rPr>
                <w:rFonts w:hint="eastAsia" w:ascii="宋体" w:hAnsi="宋体" w:eastAsia="宋体" w:cs="宋体"/>
                <w:w w:val="85"/>
                <w:kern w:val="0"/>
                <w:sz w:val="20"/>
                <w:szCs w:val="20"/>
                <w:lang w:eastAsia="en-US"/>
              </w:rPr>
              <w:t>000</w:t>
            </w:r>
            <w:r>
              <w:rPr>
                <w:rFonts w:hint="eastAsia" w:ascii="宋体" w:hAnsi="宋体" w:eastAsia="宋体" w:cs="宋体"/>
                <w:kern w:val="0"/>
                <w:sz w:val="20"/>
                <w:szCs w:val="20"/>
                <w:lang w:eastAsia="en-US"/>
              </w:rPr>
              <w:t>万元以上至</w:t>
            </w:r>
            <w:r>
              <w:rPr>
                <w:rFonts w:hint="eastAsia" w:ascii="宋体" w:hAnsi="宋体" w:eastAsia="宋体" w:cs="宋体"/>
                <w:spacing w:val="-2"/>
                <w:w w:val="85"/>
                <w:kern w:val="0"/>
                <w:sz w:val="20"/>
                <w:szCs w:val="20"/>
                <w:lang w:eastAsia="en-US"/>
              </w:rPr>
              <w:t>5</w:t>
            </w:r>
            <w:r>
              <w:rPr>
                <w:rFonts w:hint="eastAsia" w:ascii="宋体" w:hAnsi="宋体" w:eastAsia="宋体" w:cs="宋体"/>
                <w:w w:val="85"/>
                <w:kern w:val="0"/>
                <w:sz w:val="20"/>
                <w:szCs w:val="20"/>
                <w:lang w:eastAsia="en-US"/>
              </w:rPr>
              <w:t>000</w:t>
            </w:r>
            <w:r>
              <w:rPr>
                <w:rFonts w:hint="eastAsia" w:ascii="宋体" w:hAnsi="宋体" w:eastAsia="宋体" w:cs="宋体"/>
                <w:kern w:val="0"/>
                <w:sz w:val="20"/>
                <w:szCs w:val="20"/>
                <w:lang w:eastAsia="en-US"/>
              </w:rPr>
              <w:t>万元以下（含</w:t>
            </w:r>
            <w:r>
              <w:rPr>
                <w:rFonts w:hint="eastAsia" w:ascii="宋体" w:hAnsi="宋体" w:eastAsia="宋体" w:cs="宋体"/>
                <w:spacing w:val="-2"/>
                <w:w w:val="85"/>
                <w:kern w:val="0"/>
                <w:sz w:val="20"/>
                <w:szCs w:val="20"/>
                <w:lang w:eastAsia="en-US"/>
              </w:rPr>
              <w:t>5</w:t>
            </w:r>
            <w:r>
              <w:rPr>
                <w:rFonts w:hint="eastAsia" w:ascii="宋体" w:hAnsi="宋体" w:eastAsia="宋体" w:cs="宋体"/>
                <w:w w:val="85"/>
                <w:kern w:val="0"/>
                <w:sz w:val="20"/>
                <w:szCs w:val="20"/>
                <w:lang w:eastAsia="en-US"/>
              </w:rPr>
              <w:t>000</w:t>
            </w:r>
            <w:r>
              <w:rPr>
                <w:rFonts w:hint="eastAsia" w:ascii="宋体" w:hAnsi="宋体" w:eastAsia="宋体" w:cs="宋体"/>
                <w:kern w:val="0"/>
                <w:sz w:val="20"/>
                <w:szCs w:val="20"/>
                <w:lang w:eastAsia="en-US"/>
              </w:rPr>
              <w:t>万元）部分</w:t>
            </w:r>
          </w:p>
        </w:tc>
        <w:tc>
          <w:tcPr>
            <w:tcW w:w="1711" w:type="pct"/>
            <w:tcBorders>
              <w:top w:val="single" w:color="000000" w:sz="2" w:space="0"/>
              <w:left w:val="single" w:color="000000" w:sz="2" w:space="0"/>
              <w:bottom w:val="single" w:color="000000" w:sz="2" w:space="0"/>
              <w:right w:val="single" w:color="000000" w:sz="2" w:space="0"/>
            </w:tcBorders>
            <w:vAlign w:val="center"/>
          </w:tcPr>
          <w:p w14:paraId="6751B932">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w w:val="86"/>
                <w:kern w:val="0"/>
                <w:sz w:val="20"/>
                <w:szCs w:val="20"/>
                <w:lang w:eastAsia="en-US"/>
              </w:rPr>
              <w:t>3</w:t>
            </w:r>
          </w:p>
        </w:tc>
      </w:tr>
      <w:tr w14:paraId="77CC60C6">
        <w:tblPrEx>
          <w:tblCellMar>
            <w:top w:w="0" w:type="dxa"/>
            <w:left w:w="0" w:type="dxa"/>
            <w:bottom w:w="0" w:type="dxa"/>
            <w:right w:w="0" w:type="dxa"/>
          </w:tblCellMar>
        </w:tblPrEx>
        <w:trPr>
          <w:trHeight w:val="267" w:hRule="atLeast"/>
          <w:jc w:val="center"/>
        </w:trPr>
        <w:tc>
          <w:tcPr>
            <w:tcW w:w="3288" w:type="pct"/>
            <w:tcBorders>
              <w:top w:val="single" w:color="000000" w:sz="2" w:space="0"/>
              <w:left w:val="single" w:color="000000" w:sz="2" w:space="0"/>
              <w:bottom w:val="single" w:color="000000" w:sz="2" w:space="0"/>
              <w:right w:val="single" w:color="000000" w:sz="2" w:space="0"/>
            </w:tcBorders>
            <w:vAlign w:val="center"/>
          </w:tcPr>
          <w:p w14:paraId="74E3C9A5">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kern w:val="0"/>
                <w:sz w:val="20"/>
                <w:szCs w:val="20"/>
                <w:lang w:eastAsia="en-US"/>
              </w:rPr>
              <w:t>超过</w:t>
            </w:r>
            <w:r>
              <w:rPr>
                <w:rFonts w:hint="eastAsia" w:ascii="宋体" w:hAnsi="宋体" w:eastAsia="宋体" w:cs="宋体"/>
                <w:spacing w:val="-2"/>
                <w:w w:val="85"/>
                <w:kern w:val="0"/>
                <w:sz w:val="20"/>
                <w:szCs w:val="20"/>
                <w:lang w:eastAsia="en-US"/>
              </w:rPr>
              <w:t>5</w:t>
            </w:r>
            <w:r>
              <w:rPr>
                <w:rFonts w:hint="eastAsia" w:ascii="宋体" w:hAnsi="宋体" w:eastAsia="宋体" w:cs="宋体"/>
                <w:w w:val="85"/>
                <w:kern w:val="0"/>
                <w:sz w:val="20"/>
                <w:szCs w:val="20"/>
                <w:lang w:eastAsia="en-US"/>
              </w:rPr>
              <w:t>000</w:t>
            </w:r>
            <w:r>
              <w:rPr>
                <w:rFonts w:hint="eastAsia" w:ascii="宋体" w:hAnsi="宋体" w:eastAsia="宋体" w:cs="宋体"/>
                <w:kern w:val="0"/>
                <w:sz w:val="20"/>
                <w:szCs w:val="20"/>
                <w:lang w:eastAsia="en-US"/>
              </w:rPr>
              <w:t>万元部分</w:t>
            </w:r>
          </w:p>
        </w:tc>
        <w:tc>
          <w:tcPr>
            <w:tcW w:w="1711" w:type="pct"/>
            <w:tcBorders>
              <w:top w:val="single" w:color="000000" w:sz="2" w:space="0"/>
              <w:left w:val="single" w:color="000000" w:sz="2" w:space="0"/>
              <w:bottom w:val="single" w:color="000000" w:sz="2" w:space="0"/>
              <w:right w:val="single" w:color="000000" w:sz="2" w:space="0"/>
            </w:tcBorders>
            <w:vAlign w:val="center"/>
          </w:tcPr>
          <w:p w14:paraId="61BBAC43">
            <w:pPr>
              <w:keepNext w:val="0"/>
              <w:keepLines w:val="0"/>
              <w:pageBreakBefore w:val="0"/>
              <w:widowControl w:val="0"/>
              <w:kinsoku/>
              <w:wordWrap/>
              <w:overflowPunct/>
              <w:topLinePunct w:val="0"/>
              <w:autoSpaceDE/>
              <w:autoSpaceDN/>
              <w:bidi w:val="0"/>
              <w:adjustRightInd/>
              <w:snapToGrid w:val="0"/>
              <w:spacing w:after="0" w:line="280" w:lineRule="exact"/>
              <w:jc w:val="center"/>
              <w:textAlignment w:val="auto"/>
              <w:rPr>
                <w:rFonts w:hint="eastAsia" w:ascii="宋体" w:hAnsi="宋体" w:eastAsia="宋体" w:cs="宋体"/>
                <w:kern w:val="0"/>
                <w:sz w:val="20"/>
                <w:szCs w:val="20"/>
                <w:lang w:eastAsia="en-US"/>
              </w:rPr>
            </w:pPr>
            <w:r>
              <w:rPr>
                <w:rFonts w:hint="eastAsia" w:ascii="宋体" w:hAnsi="宋体" w:eastAsia="宋体" w:cs="宋体"/>
                <w:w w:val="86"/>
                <w:kern w:val="0"/>
                <w:sz w:val="20"/>
                <w:szCs w:val="20"/>
                <w:lang w:eastAsia="en-US"/>
              </w:rPr>
              <w:t>2</w:t>
            </w:r>
          </w:p>
        </w:tc>
      </w:tr>
    </w:tbl>
    <w:p w14:paraId="66CA439C">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（2）若乙方行为构成犯罪或造成甲方工作人员被追究刑事责任的，在上述违约金比例基础上上调2个百分点。</w:t>
      </w:r>
    </w:p>
    <w:p w14:paraId="7890A5E3">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3）若乙方承认违约事实并积极配合甲方进行调查和处理，且按要求缴纳违约金，甲方将酌情在违约金计算或执行上给予适当减免。若乙方多次违反本协议约定或怠于承担违约责任，甲方有权将违约金承担比例提高1至3个百分点。</w:t>
      </w:r>
    </w:p>
    <w:p w14:paraId="77016E29">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b/>
          <w:bCs/>
          <w:kern w:val="0"/>
          <w:sz w:val="20"/>
          <w:szCs w:val="20"/>
          <w:lang w:eastAsia="zh-CN"/>
        </w:rPr>
      </w:pPr>
      <w:r>
        <w:rPr>
          <w:rFonts w:hint="eastAsia" w:ascii="宋体" w:hAnsi="宋体" w:eastAsia="宋体" w:cs="宋体"/>
          <w:b/>
          <w:bCs/>
          <w:kern w:val="0"/>
          <w:sz w:val="20"/>
          <w:szCs w:val="20"/>
          <w:lang w:eastAsia="zh-CN"/>
        </w:rPr>
        <w:t>（三）合同终止与资格取消</w:t>
      </w:r>
    </w:p>
    <w:p w14:paraId="05520625">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若乙方违反本协议约定且经查证属实，甲方有权单方面部分或全部终止与乙方的合同，并取消乙方的投标或签约资格。对于情节严重者，甲方有权决定在未来3年内不与乙方及其关联方开展任何新业务合作，并有权将乙方及其关联方列入永久性禁入黑名单。</w:t>
      </w:r>
    </w:p>
    <w:p w14:paraId="36C2620E">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第七条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本协议作为双方业务合作的基础和准则，全面适用于双方在合作期间内所签订或即将签订的所有合同与协议，无论这些合同的具体内容、形式如何，也无论其签订时间的先后，本协议的效力均不受其他任何具体业务合同或协议终止、变更的影响而持续有效。</w:t>
      </w:r>
    </w:p>
    <w:p w14:paraId="20A4C4CD">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自本协议字签字盖章之日起生效，双方此前签订的所有廉洁性协议或条款均予废止，若双方在合作过程中签订的其他合同或协议与本协议在内容、解释或执行上存在任何冲突或不一致之处，均应以本协议的规定为准。</w:t>
      </w:r>
    </w:p>
    <w:p w14:paraId="6C1EAFD5">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0"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如有任何争议，双方应首先通过友好协商解决；协商不成的，任何一方均有权将争议提交至济南市钢城区人民法院诉讼解决。</w:t>
      </w:r>
    </w:p>
    <w:p w14:paraId="3D933AA3">
      <w:pPr>
        <w:keepNext w:val="0"/>
        <w:keepLines w:val="0"/>
        <w:pageBreakBefore w:val="0"/>
        <w:widowControl w:val="0"/>
        <w:kinsoku/>
        <w:wordWrap/>
        <w:overflowPunct/>
        <w:topLinePunct w:val="0"/>
        <w:autoSpaceDE/>
        <w:autoSpaceDN/>
        <w:bidi w:val="0"/>
        <w:adjustRightInd/>
        <w:spacing w:after="0" w:line="280" w:lineRule="exact"/>
        <w:ind w:left="105" w:leftChars="50" w:right="105" w:rightChars="50" w:firstLine="402" w:firstLineChars="200"/>
        <w:jc w:val="left"/>
        <w:textAlignment w:val="auto"/>
        <w:rPr>
          <w:rFonts w:hint="eastAsia" w:ascii="宋体" w:hAnsi="宋体" w:eastAsia="宋体" w:cs="宋体"/>
          <w:kern w:val="0"/>
          <w:sz w:val="20"/>
          <w:szCs w:val="20"/>
          <w:lang w:eastAsia="zh-CN"/>
        </w:rPr>
      </w:pPr>
      <w:r>
        <w:rPr>
          <w:rFonts w:hint="eastAsia" w:ascii="宋体" w:hAnsi="宋体" w:eastAsia="宋体" w:cs="宋体"/>
          <w:b/>
          <w:bCs/>
          <w:kern w:val="0"/>
          <w:sz w:val="20"/>
          <w:szCs w:val="20"/>
          <w:lang w:eastAsia="zh-CN"/>
        </w:rPr>
        <w:t>第八条</w:t>
      </w:r>
      <w:r>
        <w:rPr>
          <w:rFonts w:hint="eastAsia" w:ascii="宋体" w:hAnsi="宋体" w:cs="宋体"/>
          <w:b/>
          <w:bCs/>
          <w:kern w:val="0"/>
          <w:sz w:val="20"/>
          <w:szCs w:val="20"/>
          <w:lang w:val="en-US" w:eastAsia="zh-CN"/>
        </w:rPr>
        <w:t xml:space="preserve"> </w:t>
      </w:r>
      <w:r>
        <w:rPr>
          <w:rFonts w:hint="eastAsia" w:ascii="宋体" w:hAnsi="宋体" w:eastAsia="宋体" w:cs="宋体"/>
          <w:kern w:val="0"/>
          <w:sz w:val="20"/>
          <w:szCs w:val="20"/>
          <w:lang w:eastAsia="zh-CN"/>
        </w:rPr>
        <w:t>本协议</w:t>
      </w:r>
      <w:r>
        <w:rPr>
          <w:rFonts w:hint="eastAsia" w:ascii="宋体" w:hAnsi="宋体" w:cs="宋体"/>
          <w:kern w:val="0"/>
          <w:sz w:val="20"/>
          <w:szCs w:val="20"/>
          <w:lang w:val="en-US" w:eastAsia="zh-CN"/>
        </w:rPr>
        <w:t>壹</w:t>
      </w:r>
      <w:r>
        <w:rPr>
          <w:rFonts w:hint="eastAsia" w:ascii="宋体" w:hAnsi="宋体" w:eastAsia="宋体" w:cs="宋体"/>
          <w:kern w:val="0"/>
          <w:sz w:val="20"/>
          <w:szCs w:val="20"/>
          <w:lang w:eastAsia="zh-CN"/>
        </w:rPr>
        <w:t>式</w:t>
      </w:r>
      <w:r>
        <w:rPr>
          <w:rFonts w:hint="eastAsia" w:ascii="宋体" w:hAnsi="宋体" w:cs="宋体"/>
          <w:kern w:val="0"/>
          <w:sz w:val="20"/>
          <w:szCs w:val="20"/>
          <w:lang w:val="en-US" w:eastAsia="zh-CN"/>
        </w:rPr>
        <w:t>叁</w:t>
      </w:r>
      <w:r>
        <w:rPr>
          <w:rFonts w:hint="eastAsia" w:ascii="宋体" w:hAnsi="宋体" w:eastAsia="宋体" w:cs="宋体"/>
          <w:kern w:val="0"/>
          <w:sz w:val="20"/>
          <w:szCs w:val="20"/>
          <w:lang w:eastAsia="zh-CN"/>
        </w:rPr>
        <w:t>份，甲方执</w:t>
      </w:r>
      <w:r>
        <w:rPr>
          <w:rFonts w:hint="eastAsia" w:ascii="宋体" w:hAnsi="宋体" w:cs="宋体"/>
          <w:kern w:val="0"/>
          <w:sz w:val="20"/>
          <w:szCs w:val="20"/>
          <w:lang w:val="en-US" w:eastAsia="zh-CN"/>
        </w:rPr>
        <w:t>贰</w:t>
      </w:r>
      <w:r>
        <w:rPr>
          <w:rFonts w:hint="eastAsia" w:ascii="宋体" w:hAnsi="宋体" w:eastAsia="宋体" w:cs="宋体"/>
          <w:kern w:val="0"/>
          <w:sz w:val="20"/>
          <w:szCs w:val="20"/>
          <w:lang w:eastAsia="zh-CN"/>
        </w:rPr>
        <w:t>份，乙方执</w:t>
      </w:r>
      <w:r>
        <w:rPr>
          <w:rFonts w:hint="eastAsia" w:ascii="宋体" w:hAnsi="宋体" w:cs="宋体"/>
          <w:kern w:val="0"/>
          <w:sz w:val="20"/>
          <w:szCs w:val="20"/>
          <w:lang w:val="en-US" w:eastAsia="zh-CN"/>
        </w:rPr>
        <w:t>壹</w:t>
      </w:r>
      <w:r>
        <w:rPr>
          <w:rFonts w:hint="eastAsia" w:ascii="宋体" w:hAnsi="宋体" w:eastAsia="宋体" w:cs="宋体"/>
          <w:kern w:val="0"/>
          <w:sz w:val="20"/>
          <w:szCs w:val="20"/>
          <w:lang w:eastAsia="zh-CN"/>
        </w:rPr>
        <w:t>份。</w:t>
      </w:r>
    </w:p>
    <w:tbl>
      <w:tblPr>
        <w:tblStyle w:val="17"/>
        <w:tblW w:w="44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0"/>
        <w:gridCol w:w="2612"/>
        <w:gridCol w:w="1196"/>
        <w:gridCol w:w="1442"/>
        <w:gridCol w:w="2445"/>
        <w:gridCol w:w="1313"/>
      </w:tblGrid>
      <w:tr w14:paraId="3E9A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1390" w:type="dxa"/>
            <w:tcBorders>
              <w:bottom w:val="nil"/>
              <w:right w:val="nil"/>
            </w:tcBorders>
            <w:vAlign w:val="center"/>
          </w:tcPr>
          <w:p w14:paraId="57C236A9">
            <w:pPr>
              <w:spacing w:after="0" w:line="240" w:lineRule="auto"/>
              <w:ind w:right="105" w:rightChars="50"/>
              <w:jc w:val="left"/>
              <w:rPr>
                <w:rFonts w:hint="default" w:ascii="宋体" w:hAnsi="宋体" w:eastAsia="宋体" w:cs="宋体"/>
                <w:kern w:val="0"/>
                <w:sz w:val="20"/>
                <w:szCs w:val="20"/>
                <w:vertAlign w:val="baseline"/>
                <w:lang w:val="en-US" w:eastAsia="zh-CN"/>
              </w:rPr>
            </w:pPr>
            <w:r>
              <w:rPr>
                <w:rFonts w:hint="eastAsia" w:ascii="宋体" w:hAnsi="宋体" w:eastAsia="宋体" w:cs="宋体"/>
                <w:kern w:val="0"/>
                <w:sz w:val="20"/>
                <w:szCs w:val="20"/>
                <w:lang w:eastAsia="zh-CN"/>
              </w:rPr>
              <w:t>甲方代表：</w:t>
            </w:r>
          </w:p>
        </w:tc>
        <w:tc>
          <w:tcPr>
            <w:tcW w:w="2613" w:type="dxa"/>
            <w:tcBorders>
              <w:left w:val="nil"/>
              <w:bottom w:val="single" w:color="000000" w:sz="4" w:space="0"/>
              <w:right w:val="nil"/>
            </w:tcBorders>
            <w:vAlign w:val="center"/>
          </w:tcPr>
          <w:p w14:paraId="222C8CD8">
            <w:pPr>
              <w:spacing w:after="0" w:line="240" w:lineRule="auto"/>
              <w:ind w:right="105" w:rightChars="50"/>
              <w:jc w:val="left"/>
              <w:rPr>
                <w:rFonts w:hint="eastAsia" w:ascii="宋体" w:hAnsi="宋体" w:eastAsia="宋体" w:cs="宋体"/>
                <w:kern w:val="0"/>
                <w:sz w:val="20"/>
                <w:szCs w:val="20"/>
                <w:lang w:eastAsia="zh-CN"/>
              </w:rPr>
            </w:pPr>
          </w:p>
        </w:tc>
        <w:tc>
          <w:tcPr>
            <w:tcW w:w="1196" w:type="dxa"/>
            <w:tcBorders>
              <w:left w:val="nil"/>
              <w:bottom w:val="nil"/>
              <w:right w:val="double" w:color="auto" w:sz="4" w:space="0"/>
            </w:tcBorders>
            <w:vAlign w:val="center"/>
          </w:tcPr>
          <w:p w14:paraId="5909C1A3">
            <w:pPr>
              <w:spacing w:after="0" w:line="240" w:lineRule="auto"/>
              <w:ind w:right="105" w:rightChars="50"/>
              <w:jc w:val="left"/>
              <w:rPr>
                <w:rFonts w:hint="eastAsia" w:ascii="宋体" w:hAnsi="宋体" w:eastAsia="宋体" w:cs="宋体"/>
                <w:kern w:val="0"/>
                <w:sz w:val="20"/>
                <w:szCs w:val="20"/>
                <w:lang w:eastAsia="zh-CN"/>
              </w:rPr>
            </w:pPr>
          </w:p>
        </w:tc>
        <w:tc>
          <w:tcPr>
            <w:tcW w:w="1442" w:type="dxa"/>
            <w:tcBorders>
              <w:left w:val="double" w:color="auto" w:sz="4" w:space="0"/>
              <w:bottom w:val="nil"/>
              <w:right w:val="nil"/>
            </w:tcBorders>
            <w:vAlign w:val="center"/>
          </w:tcPr>
          <w:p w14:paraId="748EC22B">
            <w:pPr>
              <w:spacing w:after="0" w:line="240" w:lineRule="auto"/>
              <w:ind w:right="105" w:rightChars="50"/>
              <w:jc w:val="left"/>
              <w:rPr>
                <w:rFonts w:hint="default" w:ascii="宋体" w:hAnsi="宋体" w:eastAsia="宋体" w:cs="宋体"/>
                <w:kern w:val="0"/>
                <w:sz w:val="20"/>
                <w:szCs w:val="20"/>
                <w:vertAlign w:val="baseline"/>
                <w:lang w:val="en-US" w:eastAsia="zh-CN"/>
              </w:rPr>
            </w:pPr>
            <w:r>
              <w:rPr>
                <w:rFonts w:hint="eastAsia" w:ascii="宋体" w:hAnsi="宋体" w:eastAsia="宋体" w:cs="宋体"/>
                <w:kern w:val="0"/>
                <w:sz w:val="20"/>
                <w:szCs w:val="20"/>
                <w:lang w:eastAsia="zh-CN"/>
              </w:rPr>
              <w:t>乙方代表：</w:t>
            </w:r>
          </w:p>
        </w:tc>
        <w:tc>
          <w:tcPr>
            <w:tcW w:w="2446" w:type="dxa"/>
            <w:tcBorders>
              <w:left w:val="nil"/>
              <w:bottom w:val="single" w:color="000000" w:sz="4" w:space="0"/>
              <w:right w:val="nil"/>
            </w:tcBorders>
            <w:vAlign w:val="center"/>
          </w:tcPr>
          <w:p w14:paraId="58A99C37">
            <w:pPr>
              <w:spacing w:after="0" w:line="240" w:lineRule="auto"/>
              <w:ind w:right="105" w:rightChars="50"/>
              <w:jc w:val="left"/>
              <w:rPr>
                <w:rFonts w:hint="eastAsia" w:ascii="宋体" w:hAnsi="宋体" w:eastAsia="宋体" w:cs="宋体"/>
                <w:kern w:val="0"/>
                <w:sz w:val="20"/>
                <w:szCs w:val="20"/>
                <w:lang w:eastAsia="zh-CN"/>
              </w:rPr>
            </w:pPr>
          </w:p>
        </w:tc>
        <w:tc>
          <w:tcPr>
            <w:tcW w:w="1313" w:type="dxa"/>
            <w:tcBorders>
              <w:left w:val="nil"/>
              <w:bottom w:val="nil"/>
            </w:tcBorders>
            <w:vAlign w:val="center"/>
          </w:tcPr>
          <w:p w14:paraId="6FFE78A5">
            <w:pPr>
              <w:spacing w:after="0" w:line="240" w:lineRule="auto"/>
              <w:ind w:right="105" w:rightChars="50"/>
              <w:jc w:val="left"/>
              <w:rPr>
                <w:rFonts w:hint="eastAsia" w:ascii="宋体" w:hAnsi="宋体" w:eastAsia="宋体" w:cs="宋体"/>
                <w:kern w:val="0"/>
                <w:sz w:val="24"/>
                <w:szCs w:val="24"/>
                <w:lang w:eastAsia="zh-CN"/>
              </w:rPr>
            </w:pPr>
          </w:p>
        </w:tc>
      </w:tr>
      <w:tr w14:paraId="6CD7D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0" w:hRule="atLeast"/>
          <w:jc w:val="center"/>
        </w:trPr>
        <w:tc>
          <w:tcPr>
            <w:tcW w:w="4003" w:type="dxa"/>
            <w:gridSpan w:val="2"/>
            <w:tcBorders>
              <w:top w:val="nil"/>
              <w:right w:val="nil"/>
            </w:tcBorders>
          </w:tcPr>
          <w:p w14:paraId="29FDF98B">
            <w:pPr>
              <w:spacing w:after="0" w:line="240" w:lineRule="auto"/>
              <w:ind w:right="105" w:rightChars="50"/>
              <w:jc w:val="both"/>
              <w:rPr>
                <w:rFonts w:hint="eastAsia" w:ascii="宋体" w:hAnsi="宋体" w:eastAsia="宋体" w:cs="宋体"/>
                <w:kern w:val="0"/>
                <w:sz w:val="20"/>
                <w:szCs w:val="20"/>
                <w:vertAlign w:val="baseline"/>
                <w:lang w:eastAsia="zh-CN"/>
              </w:rPr>
            </w:pPr>
            <w:r>
              <w:rPr>
                <w:rFonts w:hint="eastAsia" w:ascii="宋体" w:hAnsi="宋体" w:eastAsia="宋体" w:cs="宋体"/>
                <w:kern w:val="0"/>
                <w:sz w:val="20"/>
                <w:szCs w:val="20"/>
                <w:lang w:eastAsia="zh-CN"/>
              </w:rPr>
              <w:t>甲方单位盖章：</w:t>
            </w:r>
          </w:p>
        </w:tc>
        <w:tc>
          <w:tcPr>
            <w:tcW w:w="1196" w:type="dxa"/>
            <w:tcBorders>
              <w:top w:val="nil"/>
              <w:left w:val="nil"/>
              <w:right w:val="double" w:color="auto" w:sz="4" w:space="0"/>
            </w:tcBorders>
          </w:tcPr>
          <w:p w14:paraId="72900890">
            <w:pPr>
              <w:spacing w:after="0" w:line="240" w:lineRule="auto"/>
              <w:ind w:right="105" w:rightChars="50"/>
              <w:jc w:val="both"/>
              <w:rPr>
                <w:rFonts w:hint="eastAsia" w:ascii="宋体" w:hAnsi="宋体" w:eastAsia="宋体" w:cs="宋体"/>
                <w:kern w:val="0"/>
                <w:sz w:val="20"/>
                <w:szCs w:val="20"/>
                <w:lang w:eastAsia="zh-CN"/>
              </w:rPr>
            </w:pPr>
          </w:p>
        </w:tc>
        <w:tc>
          <w:tcPr>
            <w:tcW w:w="3888" w:type="dxa"/>
            <w:gridSpan w:val="2"/>
            <w:tcBorders>
              <w:top w:val="nil"/>
              <w:left w:val="double" w:color="auto" w:sz="4" w:space="0"/>
              <w:right w:val="nil"/>
            </w:tcBorders>
          </w:tcPr>
          <w:p w14:paraId="5CE4176C">
            <w:pPr>
              <w:spacing w:after="0" w:line="240" w:lineRule="auto"/>
              <w:ind w:right="105" w:rightChars="50"/>
              <w:jc w:val="both"/>
              <w:rPr>
                <w:rFonts w:hint="eastAsia" w:ascii="宋体" w:hAnsi="宋体" w:eastAsia="宋体" w:cs="宋体"/>
                <w:kern w:val="0"/>
                <w:sz w:val="20"/>
                <w:szCs w:val="20"/>
                <w:vertAlign w:val="baseline"/>
                <w:lang w:eastAsia="zh-CN"/>
              </w:rPr>
            </w:pPr>
            <w:r>
              <w:rPr>
                <w:rFonts w:hint="eastAsia" w:ascii="宋体" w:hAnsi="宋体" w:eastAsia="宋体" w:cs="宋体"/>
                <w:kern w:val="0"/>
                <w:sz w:val="20"/>
                <w:szCs w:val="20"/>
                <w:lang w:eastAsia="zh-CN"/>
              </w:rPr>
              <w:t>乙方单位盖章：</w:t>
            </w:r>
          </w:p>
        </w:tc>
        <w:tc>
          <w:tcPr>
            <w:tcW w:w="1313" w:type="dxa"/>
            <w:tcBorders>
              <w:top w:val="nil"/>
              <w:left w:val="nil"/>
            </w:tcBorders>
          </w:tcPr>
          <w:p w14:paraId="2101BFBC">
            <w:pPr>
              <w:spacing w:after="0" w:line="240" w:lineRule="auto"/>
              <w:ind w:right="105" w:rightChars="50"/>
              <w:jc w:val="both"/>
              <w:rPr>
                <w:rFonts w:hint="eastAsia" w:ascii="宋体" w:hAnsi="宋体" w:eastAsia="宋体" w:cs="宋体"/>
                <w:kern w:val="0"/>
                <w:sz w:val="24"/>
                <w:szCs w:val="24"/>
                <w:lang w:eastAsia="zh-CN"/>
              </w:rPr>
            </w:pPr>
          </w:p>
        </w:tc>
      </w:tr>
      <w:tr w14:paraId="4FCC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400" w:type="dxa"/>
            <w:gridSpan w:val="6"/>
          </w:tcPr>
          <w:p w14:paraId="0B8ECD8B">
            <w:pPr>
              <w:spacing w:after="0" w:line="240" w:lineRule="auto"/>
              <w:ind w:right="105" w:rightChars="50"/>
              <w:jc w:val="center"/>
              <w:rPr>
                <w:rFonts w:hint="eastAsia" w:ascii="宋体" w:hAnsi="宋体" w:eastAsia="宋体" w:cs="宋体"/>
                <w:kern w:val="0"/>
                <w:sz w:val="18"/>
                <w:szCs w:val="18"/>
                <w:vertAlign w:val="baseline"/>
                <w:lang w:eastAsia="zh-CN"/>
              </w:rPr>
            </w:pPr>
            <w:r>
              <w:rPr>
                <w:rFonts w:hint="eastAsia" w:ascii="宋体" w:hAnsi="宋体" w:cs="宋体"/>
                <w:kern w:val="0"/>
                <w:sz w:val="20"/>
                <w:szCs w:val="20"/>
                <w:vertAlign w:val="baseline"/>
                <w:lang w:val="en-US" w:eastAsia="zh-CN"/>
              </w:rPr>
              <w:t>_____年_____月______日</w:t>
            </w:r>
          </w:p>
        </w:tc>
      </w:tr>
    </w:tbl>
    <w:p w14:paraId="34CC266E">
      <w:pPr>
        <w:bidi w:val="0"/>
        <w:rPr>
          <w:rFonts w:hint="eastAsia"/>
        </w:rPr>
        <w:sectPr>
          <w:headerReference r:id="rId6" w:type="default"/>
          <w:footerReference r:id="rId7" w:type="default"/>
          <w:pgSz w:w="11906" w:h="16838"/>
          <w:pgMar w:top="283" w:right="283" w:bottom="283" w:left="283" w:header="283" w:footer="283" w:gutter="0"/>
          <w:pgNumType w:fmt="decimal" w:start="1"/>
          <w:cols w:space="720" w:num="1"/>
          <w:docGrid w:type="lines" w:linePitch="312" w:charSpace="0"/>
        </w:sectPr>
      </w:pPr>
    </w:p>
    <w:p w14:paraId="1972923E">
      <w:pPr>
        <w:rPr>
          <w:rFonts w:hint="default"/>
          <w:lang w:val="en-US" w:eastAsia="zh-CN"/>
        </w:rPr>
      </w:pPr>
    </w:p>
    <w:sectPr>
      <w:headerReference r:id="rId8" w:type="default"/>
      <w:footerReference r:id="rId9" w:type="default"/>
      <w:pgSz w:w="11906" w:h="16838"/>
      <w:pgMar w:top="720" w:right="720" w:bottom="720" w:left="72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ACD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F8493">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2FB">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72F3">
    <w:pPr>
      <w:pStyle w:val="14"/>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重要文件，请仔细阅读、理解、应用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7B5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BE4B4">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6FBE">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D06F"/>
    <w:multiLevelType w:val="singleLevel"/>
    <w:tmpl w:val="80CCD06F"/>
    <w:lvl w:ilvl="0" w:tentative="0">
      <w:start w:val="1"/>
      <w:numFmt w:val="decimal"/>
      <w:pStyle w:val="28"/>
      <w:suff w:val="nothing"/>
      <w:lvlText w:val="附件%1 "/>
      <w:lvlJc w:val="left"/>
      <w:pPr>
        <w:tabs>
          <w:tab w:val="left" w:pos="0"/>
        </w:tabs>
        <w:ind w:left="0" w:firstLine="420"/>
      </w:pPr>
      <w:rPr>
        <w:rFonts w:hint="default"/>
      </w:rPr>
    </w:lvl>
  </w:abstractNum>
  <w:abstractNum w:abstractNumId="1">
    <w:nsid w:val="8CEC4E6D"/>
    <w:multiLevelType w:val="singleLevel"/>
    <w:tmpl w:val="8CEC4E6D"/>
    <w:lvl w:ilvl="0" w:tentative="0">
      <w:start w:val="1"/>
      <w:numFmt w:val="chineseCounting"/>
      <w:suff w:val="nothing"/>
      <w:lvlText w:val="%1、"/>
      <w:lvlJc w:val="left"/>
      <w:pPr>
        <w:ind w:left="0" w:firstLine="420"/>
      </w:pPr>
      <w:rPr>
        <w:rFonts w:hint="eastAsia"/>
      </w:rPr>
    </w:lvl>
  </w:abstractNum>
  <w:abstractNum w:abstractNumId="2">
    <w:nsid w:val="C070BB49"/>
    <w:multiLevelType w:val="singleLevel"/>
    <w:tmpl w:val="C070BB49"/>
    <w:lvl w:ilvl="0" w:tentative="0">
      <w:start w:val="1"/>
      <w:numFmt w:val="decimal"/>
      <w:lvlText w:val="%1."/>
      <w:lvlJc w:val="left"/>
      <w:pPr>
        <w:ind w:left="425" w:hanging="425"/>
      </w:pPr>
      <w:rPr>
        <w:rFonts w:hint="default"/>
      </w:rPr>
    </w:lvl>
  </w:abstractNum>
  <w:abstractNum w:abstractNumId="3">
    <w:nsid w:val="E509F084"/>
    <w:multiLevelType w:val="singleLevel"/>
    <w:tmpl w:val="E509F084"/>
    <w:lvl w:ilvl="0" w:tentative="0">
      <w:start w:val="1"/>
      <w:numFmt w:val="decimal"/>
      <w:lvlText w:val="%1."/>
      <w:lvlJc w:val="left"/>
      <w:pPr>
        <w:ind w:left="425" w:hanging="425"/>
      </w:pPr>
      <w:rPr>
        <w:rFonts w:hint="default"/>
      </w:rPr>
    </w:lvl>
  </w:abstractNum>
  <w:abstractNum w:abstractNumId="4">
    <w:nsid w:val="070FFFF6"/>
    <w:multiLevelType w:val="singleLevel"/>
    <w:tmpl w:val="070FFFF6"/>
    <w:lvl w:ilvl="0" w:tentative="0">
      <w:start w:val="1"/>
      <w:numFmt w:val="decimal"/>
      <w:lvlText w:val="%1."/>
      <w:lvlJc w:val="left"/>
      <w:pPr>
        <w:ind w:left="425" w:hanging="425"/>
      </w:pPr>
      <w:rPr>
        <w:rFonts w:hint="default"/>
      </w:rPr>
    </w:lvl>
  </w:abstractNum>
  <w:abstractNum w:abstractNumId="5">
    <w:nsid w:val="076B3B74"/>
    <w:multiLevelType w:val="singleLevel"/>
    <w:tmpl w:val="076B3B74"/>
    <w:lvl w:ilvl="0" w:tentative="0">
      <w:start w:val="1"/>
      <w:numFmt w:val="decimal"/>
      <w:lvlText w:val="%1."/>
      <w:lvlJc w:val="left"/>
      <w:pPr>
        <w:ind w:left="425" w:hanging="425"/>
      </w:pPr>
      <w:rPr>
        <w:rFonts w:hint="default"/>
      </w:rPr>
    </w:lvl>
  </w:abstractNum>
  <w:abstractNum w:abstractNumId="6">
    <w:nsid w:val="198170F9"/>
    <w:multiLevelType w:val="singleLevel"/>
    <w:tmpl w:val="198170F9"/>
    <w:lvl w:ilvl="0" w:tentative="0">
      <w:start w:val="1"/>
      <w:numFmt w:val="upperLetter"/>
      <w:lvlText w:val="%1"/>
      <w:lvlJc w:val="left"/>
      <w:pPr>
        <w:tabs>
          <w:tab w:val="left" w:pos="420"/>
        </w:tabs>
        <w:ind w:left="425" w:leftChars="0" w:hanging="425" w:firstLineChars="0"/>
      </w:pPr>
      <w:rPr>
        <w:rFonts w:hint="default"/>
      </w:rPr>
    </w:lvl>
  </w:abstractNum>
  <w:abstractNum w:abstractNumId="7">
    <w:nsid w:val="2DB2C57E"/>
    <w:multiLevelType w:val="singleLevel"/>
    <w:tmpl w:val="2DB2C57E"/>
    <w:lvl w:ilvl="0" w:tentative="0">
      <w:start w:val="1"/>
      <w:numFmt w:val="decimal"/>
      <w:lvlText w:val="%1."/>
      <w:lvlJc w:val="left"/>
      <w:pPr>
        <w:ind w:left="425" w:hanging="425"/>
      </w:pPr>
      <w:rPr>
        <w:rFonts w:hint="default"/>
      </w:rPr>
    </w:lvl>
  </w:abstractNum>
  <w:abstractNum w:abstractNumId="8">
    <w:nsid w:val="333645DA"/>
    <w:multiLevelType w:val="multilevel"/>
    <w:tmpl w:val="333645D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9">
    <w:nsid w:val="7069AF32"/>
    <w:multiLevelType w:val="singleLevel"/>
    <w:tmpl w:val="7069AF32"/>
    <w:lvl w:ilvl="0" w:tentative="0">
      <w:start w:val="1"/>
      <w:numFmt w:val="decimal"/>
      <w:lvlText w:val="%1."/>
      <w:lvlJc w:val="left"/>
      <w:pPr>
        <w:ind w:left="425" w:hanging="425"/>
      </w:pPr>
      <w:rPr>
        <w:rFonts w:hint="default"/>
      </w:rPr>
    </w:lvl>
  </w:abstractNum>
  <w:abstractNum w:abstractNumId="10">
    <w:nsid w:val="76D5B4C9"/>
    <w:multiLevelType w:val="singleLevel"/>
    <w:tmpl w:val="76D5B4C9"/>
    <w:lvl w:ilvl="0" w:tentative="0">
      <w:start w:val="1"/>
      <w:numFmt w:val="decimal"/>
      <w:lvlText w:val="%1."/>
      <w:lvlJc w:val="left"/>
      <w:pPr>
        <w:ind w:left="425" w:hanging="425"/>
      </w:pPr>
      <w:rPr>
        <w:rFonts w:hint="default"/>
      </w:rPr>
    </w:lvl>
  </w:abstractNum>
  <w:abstractNum w:abstractNumId="11">
    <w:nsid w:val="78F4F3A5"/>
    <w:multiLevelType w:val="multilevel"/>
    <w:tmpl w:val="78F4F3A5"/>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2">
    <w:nsid w:val="7C643587"/>
    <w:multiLevelType w:val="singleLevel"/>
    <w:tmpl w:val="7C643587"/>
    <w:lvl w:ilvl="0" w:tentative="0">
      <w:start w:val="1"/>
      <w:numFmt w:val="decimalEnclosedCircleChinese"/>
      <w:suff w:val="nothing"/>
      <w:lvlText w:val="%1　"/>
      <w:lvlJc w:val="left"/>
      <w:pPr>
        <w:ind w:left="0" w:firstLine="400"/>
      </w:pPr>
      <w:rPr>
        <w:rFonts w:hint="eastAsia"/>
      </w:rPr>
    </w:lvl>
  </w:abstractNum>
  <w:num w:numId="1">
    <w:abstractNumId w:val="11"/>
  </w:num>
  <w:num w:numId="2">
    <w:abstractNumId w:val="0"/>
  </w:num>
  <w:num w:numId="3">
    <w:abstractNumId w:val="4"/>
  </w:num>
  <w:num w:numId="4">
    <w:abstractNumId w:val="6"/>
  </w:num>
  <w:num w:numId="5">
    <w:abstractNumId w:val="12"/>
  </w:num>
  <w:num w:numId="6">
    <w:abstractNumId w:val="2"/>
  </w:num>
  <w:num w:numId="7">
    <w:abstractNumId w:val="3"/>
  </w:num>
  <w:num w:numId="8">
    <w:abstractNumId w:val="10"/>
  </w:num>
  <w:num w:numId="9">
    <w:abstractNumId w:val="9"/>
  </w:num>
  <w:num w:numId="10">
    <w:abstractNumId w:val="8"/>
  </w:num>
  <w:num w:numId="11">
    <w:abstractNumId w:val="5"/>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MDU4YzQ5ODQwY2MzNjQ2MDFmNjdkNWNhMDQ4ZWIifQ=="/>
  </w:docVars>
  <w:rsids>
    <w:rsidRoot w:val="00E619A8"/>
    <w:rsid w:val="000B6DEC"/>
    <w:rsid w:val="00102661"/>
    <w:rsid w:val="00112829"/>
    <w:rsid w:val="00112C2F"/>
    <w:rsid w:val="001848ED"/>
    <w:rsid w:val="0019252B"/>
    <w:rsid w:val="001C49E4"/>
    <w:rsid w:val="001F6B48"/>
    <w:rsid w:val="0021450F"/>
    <w:rsid w:val="00241615"/>
    <w:rsid w:val="002571E0"/>
    <w:rsid w:val="002D09F6"/>
    <w:rsid w:val="002D6CBD"/>
    <w:rsid w:val="00304EA0"/>
    <w:rsid w:val="0035357A"/>
    <w:rsid w:val="003A6D54"/>
    <w:rsid w:val="003D42C7"/>
    <w:rsid w:val="003E32EE"/>
    <w:rsid w:val="004428BB"/>
    <w:rsid w:val="004657F4"/>
    <w:rsid w:val="004A387B"/>
    <w:rsid w:val="004A6C3B"/>
    <w:rsid w:val="004B18DB"/>
    <w:rsid w:val="004B532B"/>
    <w:rsid w:val="004C7B54"/>
    <w:rsid w:val="004E10A1"/>
    <w:rsid w:val="00521116"/>
    <w:rsid w:val="0053248B"/>
    <w:rsid w:val="0055503E"/>
    <w:rsid w:val="00594E36"/>
    <w:rsid w:val="00633295"/>
    <w:rsid w:val="006463CA"/>
    <w:rsid w:val="006A1C5F"/>
    <w:rsid w:val="006F2183"/>
    <w:rsid w:val="007015D0"/>
    <w:rsid w:val="00703C16"/>
    <w:rsid w:val="00782993"/>
    <w:rsid w:val="0079090D"/>
    <w:rsid w:val="007D2128"/>
    <w:rsid w:val="0081426B"/>
    <w:rsid w:val="008246AF"/>
    <w:rsid w:val="00886682"/>
    <w:rsid w:val="009338B7"/>
    <w:rsid w:val="009B4CDD"/>
    <w:rsid w:val="00A26500"/>
    <w:rsid w:val="00A82ED2"/>
    <w:rsid w:val="00AF43D7"/>
    <w:rsid w:val="00B063B7"/>
    <w:rsid w:val="00B11132"/>
    <w:rsid w:val="00BA0B66"/>
    <w:rsid w:val="00C57B9A"/>
    <w:rsid w:val="00C741BC"/>
    <w:rsid w:val="00C9444B"/>
    <w:rsid w:val="00CA7B03"/>
    <w:rsid w:val="00CC20FD"/>
    <w:rsid w:val="00D22C01"/>
    <w:rsid w:val="00D563D8"/>
    <w:rsid w:val="00D609B8"/>
    <w:rsid w:val="00D72A68"/>
    <w:rsid w:val="00DA09A6"/>
    <w:rsid w:val="00DC062B"/>
    <w:rsid w:val="00DC37E4"/>
    <w:rsid w:val="00E54AC1"/>
    <w:rsid w:val="00E619A8"/>
    <w:rsid w:val="00EB6833"/>
    <w:rsid w:val="00F25578"/>
    <w:rsid w:val="00F35D25"/>
    <w:rsid w:val="00F663A1"/>
    <w:rsid w:val="00FD6F38"/>
    <w:rsid w:val="00FF0913"/>
    <w:rsid w:val="012D0D9E"/>
    <w:rsid w:val="015C3B20"/>
    <w:rsid w:val="016E2F6B"/>
    <w:rsid w:val="019B0467"/>
    <w:rsid w:val="01B56817"/>
    <w:rsid w:val="01DA7C98"/>
    <w:rsid w:val="01E0373D"/>
    <w:rsid w:val="025D6005"/>
    <w:rsid w:val="02976E93"/>
    <w:rsid w:val="04454854"/>
    <w:rsid w:val="044F4975"/>
    <w:rsid w:val="04690FF0"/>
    <w:rsid w:val="04A75E09"/>
    <w:rsid w:val="04A80FE6"/>
    <w:rsid w:val="050163DC"/>
    <w:rsid w:val="05E51393"/>
    <w:rsid w:val="05EB2641"/>
    <w:rsid w:val="05F42B1D"/>
    <w:rsid w:val="067439D1"/>
    <w:rsid w:val="06B47B0B"/>
    <w:rsid w:val="06CD634A"/>
    <w:rsid w:val="06D764F1"/>
    <w:rsid w:val="07A463F0"/>
    <w:rsid w:val="07E4638E"/>
    <w:rsid w:val="08E43B13"/>
    <w:rsid w:val="09502F56"/>
    <w:rsid w:val="095728DC"/>
    <w:rsid w:val="09691C90"/>
    <w:rsid w:val="096F5196"/>
    <w:rsid w:val="09DE66AB"/>
    <w:rsid w:val="0A1E618E"/>
    <w:rsid w:val="0A2D14EA"/>
    <w:rsid w:val="0A794352"/>
    <w:rsid w:val="0A7C0C5C"/>
    <w:rsid w:val="0ACB52B0"/>
    <w:rsid w:val="0B7A42BB"/>
    <w:rsid w:val="0BD75CA7"/>
    <w:rsid w:val="0C4F1380"/>
    <w:rsid w:val="0C7E77DC"/>
    <w:rsid w:val="0C8F3D96"/>
    <w:rsid w:val="0D92073A"/>
    <w:rsid w:val="0DB036D7"/>
    <w:rsid w:val="0E4B7772"/>
    <w:rsid w:val="0E565527"/>
    <w:rsid w:val="0E653000"/>
    <w:rsid w:val="0EAD49A7"/>
    <w:rsid w:val="0FE643B1"/>
    <w:rsid w:val="103B3681"/>
    <w:rsid w:val="10482EA5"/>
    <w:rsid w:val="10E25A06"/>
    <w:rsid w:val="110716A5"/>
    <w:rsid w:val="11417D86"/>
    <w:rsid w:val="11AE6D43"/>
    <w:rsid w:val="11EA7F82"/>
    <w:rsid w:val="11F71E14"/>
    <w:rsid w:val="120174E4"/>
    <w:rsid w:val="12835B2B"/>
    <w:rsid w:val="12A224B5"/>
    <w:rsid w:val="12A23D01"/>
    <w:rsid w:val="13CA5754"/>
    <w:rsid w:val="14076372"/>
    <w:rsid w:val="1411088D"/>
    <w:rsid w:val="14144435"/>
    <w:rsid w:val="14532906"/>
    <w:rsid w:val="1494463F"/>
    <w:rsid w:val="150C5E59"/>
    <w:rsid w:val="1567351E"/>
    <w:rsid w:val="157A53F8"/>
    <w:rsid w:val="16817517"/>
    <w:rsid w:val="16C9125E"/>
    <w:rsid w:val="179113DD"/>
    <w:rsid w:val="17CD5D45"/>
    <w:rsid w:val="18775734"/>
    <w:rsid w:val="18BF1EA7"/>
    <w:rsid w:val="196802E0"/>
    <w:rsid w:val="19761A5B"/>
    <w:rsid w:val="19992CA5"/>
    <w:rsid w:val="19B843E6"/>
    <w:rsid w:val="19F9645A"/>
    <w:rsid w:val="1A3D79D1"/>
    <w:rsid w:val="1A9739B1"/>
    <w:rsid w:val="1B254510"/>
    <w:rsid w:val="1B304996"/>
    <w:rsid w:val="1B4C5D10"/>
    <w:rsid w:val="1BB903FE"/>
    <w:rsid w:val="1D613930"/>
    <w:rsid w:val="1D8E4BE5"/>
    <w:rsid w:val="1DC835AB"/>
    <w:rsid w:val="1F1B0F38"/>
    <w:rsid w:val="1F470E6A"/>
    <w:rsid w:val="1FC241C2"/>
    <w:rsid w:val="20BA6BC3"/>
    <w:rsid w:val="21696E53"/>
    <w:rsid w:val="22127ADE"/>
    <w:rsid w:val="229117B1"/>
    <w:rsid w:val="230439CF"/>
    <w:rsid w:val="23792EBE"/>
    <w:rsid w:val="23C94A83"/>
    <w:rsid w:val="24B15EB9"/>
    <w:rsid w:val="24CD6279"/>
    <w:rsid w:val="24D90788"/>
    <w:rsid w:val="25040E9B"/>
    <w:rsid w:val="254650AE"/>
    <w:rsid w:val="268F1EB2"/>
    <w:rsid w:val="26AC55F3"/>
    <w:rsid w:val="278D0960"/>
    <w:rsid w:val="27DC0C69"/>
    <w:rsid w:val="28650375"/>
    <w:rsid w:val="292B2AE9"/>
    <w:rsid w:val="298C4DCD"/>
    <w:rsid w:val="2A2D0CE4"/>
    <w:rsid w:val="2A6C3598"/>
    <w:rsid w:val="2AD7256C"/>
    <w:rsid w:val="2B2E60BD"/>
    <w:rsid w:val="2B5D620B"/>
    <w:rsid w:val="2C4C7ABB"/>
    <w:rsid w:val="2C6577AD"/>
    <w:rsid w:val="2CEC5487"/>
    <w:rsid w:val="2CF15C51"/>
    <w:rsid w:val="2CF710AA"/>
    <w:rsid w:val="2D087520"/>
    <w:rsid w:val="2D0F75A5"/>
    <w:rsid w:val="2D190460"/>
    <w:rsid w:val="2D39592C"/>
    <w:rsid w:val="2D5F11F4"/>
    <w:rsid w:val="2D8B5B0F"/>
    <w:rsid w:val="2D9B6A99"/>
    <w:rsid w:val="2E051CB2"/>
    <w:rsid w:val="2E3D357E"/>
    <w:rsid w:val="2E815010"/>
    <w:rsid w:val="2E8320B8"/>
    <w:rsid w:val="2EEB409A"/>
    <w:rsid w:val="2EFE0E73"/>
    <w:rsid w:val="2F267DBF"/>
    <w:rsid w:val="2F725B46"/>
    <w:rsid w:val="307718EB"/>
    <w:rsid w:val="31CA4B7F"/>
    <w:rsid w:val="32381129"/>
    <w:rsid w:val="324234D5"/>
    <w:rsid w:val="32583F98"/>
    <w:rsid w:val="329D695D"/>
    <w:rsid w:val="32A31D22"/>
    <w:rsid w:val="32E86094"/>
    <w:rsid w:val="33154E93"/>
    <w:rsid w:val="339C7C7F"/>
    <w:rsid w:val="34E73EBF"/>
    <w:rsid w:val="35137533"/>
    <w:rsid w:val="351D2E62"/>
    <w:rsid w:val="35FE6418"/>
    <w:rsid w:val="36161EE1"/>
    <w:rsid w:val="366A6AFE"/>
    <w:rsid w:val="36E33AB1"/>
    <w:rsid w:val="37022ABB"/>
    <w:rsid w:val="37E31DBB"/>
    <w:rsid w:val="38594BF3"/>
    <w:rsid w:val="38B237D8"/>
    <w:rsid w:val="39191D3B"/>
    <w:rsid w:val="39644270"/>
    <w:rsid w:val="39D76A55"/>
    <w:rsid w:val="3A2E29CB"/>
    <w:rsid w:val="3A820A56"/>
    <w:rsid w:val="3A8B676C"/>
    <w:rsid w:val="3AA24609"/>
    <w:rsid w:val="3AAF51DA"/>
    <w:rsid w:val="3AD31A8D"/>
    <w:rsid w:val="3B0D4C8B"/>
    <w:rsid w:val="3B717074"/>
    <w:rsid w:val="3BEF756B"/>
    <w:rsid w:val="3C2514DF"/>
    <w:rsid w:val="3CCD2F7B"/>
    <w:rsid w:val="3CDD478E"/>
    <w:rsid w:val="3D314E9B"/>
    <w:rsid w:val="3D571F3E"/>
    <w:rsid w:val="3D6568F8"/>
    <w:rsid w:val="3E2414F2"/>
    <w:rsid w:val="3E4B02AC"/>
    <w:rsid w:val="3E904916"/>
    <w:rsid w:val="3E945FB0"/>
    <w:rsid w:val="3EA80D16"/>
    <w:rsid w:val="3EEF6792"/>
    <w:rsid w:val="3F5452C3"/>
    <w:rsid w:val="3F747419"/>
    <w:rsid w:val="3FF17476"/>
    <w:rsid w:val="4041301D"/>
    <w:rsid w:val="405D597D"/>
    <w:rsid w:val="40BC27D8"/>
    <w:rsid w:val="40CF0629"/>
    <w:rsid w:val="416F6D17"/>
    <w:rsid w:val="423563AB"/>
    <w:rsid w:val="42BE526E"/>
    <w:rsid w:val="42C16AB2"/>
    <w:rsid w:val="44392C44"/>
    <w:rsid w:val="44516AA5"/>
    <w:rsid w:val="44CB735A"/>
    <w:rsid w:val="44D24A75"/>
    <w:rsid w:val="4548730C"/>
    <w:rsid w:val="45F14986"/>
    <w:rsid w:val="462A632B"/>
    <w:rsid w:val="465051E1"/>
    <w:rsid w:val="46E63068"/>
    <w:rsid w:val="46FA2376"/>
    <w:rsid w:val="472B7CC8"/>
    <w:rsid w:val="47604591"/>
    <w:rsid w:val="47BE7AFD"/>
    <w:rsid w:val="488B08C2"/>
    <w:rsid w:val="497560E9"/>
    <w:rsid w:val="49B567A0"/>
    <w:rsid w:val="4A875AD1"/>
    <w:rsid w:val="4AAA2C31"/>
    <w:rsid w:val="4B8B2296"/>
    <w:rsid w:val="4C03387D"/>
    <w:rsid w:val="4C693765"/>
    <w:rsid w:val="4D0C7577"/>
    <w:rsid w:val="4E4F1A76"/>
    <w:rsid w:val="4E7633BD"/>
    <w:rsid w:val="4F2F1886"/>
    <w:rsid w:val="4F3B1580"/>
    <w:rsid w:val="4F7030C5"/>
    <w:rsid w:val="4F934FD5"/>
    <w:rsid w:val="4FA26EED"/>
    <w:rsid w:val="4FEE1EAF"/>
    <w:rsid w:val="503A4F1F"/>
    <w:rsid w:val="504B2249"/>
    <w:rsid w:val="50653564"/>
    <w:rsid w:val="51151862"/>
    <w:rsid w:val="51E14C3E"/>
    <w:rsid w:val="522C52B5"/>
    <w:rsid w:val="52377BDB"/>
    <w:rsid w:val="527B7257"/>
    <w:rsid w:val="531A4DD4"/>
    <w:rsid w:val="53D045BD"/>
    <w:rsid w:val="53D141ED"/>
    <w:rsid w:val="54017117"/>
    <w:rsid w:val="54177EC5"/>
    <w:rsid w:val="542577F8"/>
    <w:rsid w:val="54C93027"/>
    <w:rsid w:val="54FC1596"/>
    <w:rsid w:val="555606A4"/>
    <w:rsid w:val="55A90D9E"/>
    <w:rsid w:val="55F57606"/>
    <w:rsid w:val="56407BD9"/>
    <w:rsid w:val="568339E2"/>
    <w:rsid w:val="57045AAC"/>
    <w:rsid w:val="57497BC3"/>
    <w:rsid w:val="57540152"/>
    <w:rsid w:val="57763155"/>
    <w:rsid w:val="58B31BDC"/>
    <w:rsid w:val="590E16AF"/>
    <w:rsid w:val="59242993"/>
    <w:rsid w:val="592B5B5A"/>
    <w:rsid w:val="594C5F04"/>
    <w:rsid w:val="59A76862"/>
    <w:rsid w:val="5A1A05C1"/>
    <w:rsid w:val="5A5D5A97"/>
    <w:rsid w:val="5ADD380D"/>
    <w:rsid w:val="5B191999"/>
    <w:rsid w:val="5B253CD2"/>
    <w:rsid w:val="5B2F1F99"/>
    <w:rsid w:val="5B8E5344"/>
    <w:rsid w:val="5B98734E"/>
    <w:rsid w:val="5BA03FE5"/>
    <w:rsid w:val="5BF653CA"/>
    <w:rsid w:val="5C0F3BD9"/>
    <w:rsid w:val="5CF60894"/>
    <w:rsid w:val="5D463AA6"/>
    <w:rsid w:val="5DD6624A"/>
    <w:rsid w:val="5DEB7849"/>
    <w:rsid w:val="5E27164D"/>
    <w:rsid w:val="5E37430A"/>
    <w:rsid w:val="5E6672DD"/>
    <w:rsid w:val="5E8E2CF9"/>
    <w:rsid w:val="5EAB0FB0"/>
    <w:rsid w:val="5ECC1563"/>
    <w:rsid w:val="5F245150"/>
    <w:rsid w:val="5FCD5A90"/>
    <w:rsid w:val="5FEF40DB"/>
    <w:rsid w:val="60B77271"/>
    <w:rsid w:val="61062540"/>
    <w:rsid w:val="617578B4"/>
    <w:rsid w:val="61BE331C"/>
    <w:rsid w:val="61EE7503"/>
    <w:rsid w:val="62CB1013"/>
    <w:rsid w:val="6354042C"/>
    <w:rsid w:val="63934232"/>
    <w:rsid w:val="639A288E"/>
    <w:rsid w:val="63A10B6C"/>
    <w:rsid w:val="63D97499"/>
    <w:rsid w:val="6478149E"/>
    <w:rsid w:val="64806E1C"/>
    <w:rsid w:val="64D91D9A"/>
    <w:rsid w:val="650E5897"/>
    <w:rsid w:val="655D7702"/>
    <w:rsid w:val="65765CA3"/>
    <w:rsid w:val="65865E9F"/>
    <w:rsid w:val="658F729A"/>
    <w:rsid w:val="65A65613"/>
    <w:rsid w:val="65C55FE7"/>
    <w:rsid w:val="66017EFB"/>
    <w:rsid w:val="66C41727"/>
    <w:rsid w:val="66E637B9"/>
    <w:rsid w:val="67390F85"/>
    <w:rsid w:val="678D7B72"/>
    <w:rsid w:val="6861460E"/>
    <w:rsid w:val="68625C1C"/>
    <w:rsid w:val="695F37D3"/>
    <w:rsid w:val="6B0418E7"/>
    <w:rsid w:val="6B0909F6"/>
    <w:rsid w:val="6B14187A"/>
    <w:rsid w:val="6B1B4E4B"/>
    <w:rsid w:val="6B715992"/>
    <w:rsid w:val="6C582222"/>
    <w:rsid w:val="6CC07DFA"/>
    <w:rsid w:val="6CF35827"/>
    <w:rsid w:val="6D955854"/>
    <w:rsid w:val="6DBA3CAB"/>
    <w:rsid w:val="6DEB0AC4"/>
    <w:rsid w:val="6E7E01A9"/>
    <w:rsid w:val="6E924B83"/>
    <w:rsid w:val="6F5A3B4B"/>
    <w:rsid w:val="6F6970D8"/>
    <w:rsid w:val="6F8316A0"/>
    <w:rsid w:val="70626515"/>
    <w:rsid w:val="70703362"/>
    <w:rsid w:val="71127CF1"/>
    <w:rsid w:val="71EA2762"/>
    <w:rsid w:val="7225528D"/>
    <w:rsid w:val="7241309C"/>
    <w:rsid w:val="72473C14"/>
    <w:rsid w:val="72513F19"/>
    <w:rsid w:val="727D69DC"/>
    <w:rsid w:val="72A439A3"/>
    <w:rsid w:val="72B6607D"/>
    <w:rsid w:val="72C41B46"/>
    <w:rsid w:val="72CD6DFD"/>
    <w:rsid w:val="72D65639"/>
    <w:rsid w:val="73651920"/>
    <w:rsid w:val="739E16B7"/>
    <w:rsid w:val="74153A89"/>
    <w:rsid w:val="74746816"/>
    <w:rsid w:val="75137061"/>
    <w:rsid w:val="757434A6"/>
    <w:rsid w:val="758E7822"/>
    <w:rsid w:val="75BF2B20"/>
    <w:rsid w:val="760B7133"/>
    <w:rsid w:val="761F5C21"/>
    <w:rsid w:val="76746FA2"/>
    <w:rsid w:val="76AE39A1"/>
    <w:rsid w:val="76B02367"/>
    <w:rsid w:val="77106137"/>
    <w:rsid w:val="779535E4"/>
    <w:rsid w:val="78863D8B"/>
    <w:rsid w:val="78BA359E"/>
    <w:rsid w:val="78C64DC1"/>
    <w:rsid w:val="78C728B3"/>
    <w:rsid w:val="793F1560"/>
    <w:rsid w:val="796A3742"/>
    <w:rsid w:val="79E916CD"/>
    <w:rsid w:val="79FE0EE6"/>
    <w:rsid w:val="7A405E3E"/>
    <w:rsid w:val="7A55081F"/>
    <w:rsid w:val="7A82306D"/>
    <w:rsid w:val="7ADA3891"/>
    <w:rsid w:val="7B170231"/>
    <w:rsid w:val="7B3A4D4A"/>
    <w:rsid w:val="7BE95BD1"/>
    <w:rsid w:val="7C560B28"/>
    <w:rsid w:val="7CB26E0B"/>
    <w:rsid w:val="7D2232B3"/>
    <w:rsid w:val="7D4F26BF"/>
    <w:rsid w:val="7DC93DF6"/>
    <w:rsid w:val="7DD82857"/>
    <w:rsid w:val="7E1F0B73"/>
    <w:rsid w:val="7E5302AF"/>
    <w:rsid w:val="7E5F3050"/>
    <w:rsid w:val="7EC26ED1"/>
    <w:rsid w:val="7EEA3C82"/>
    <w:rsid w:val="7F275939"/>
    <w:rsid w:val="7F420A3D"/>
    <w:rsid w:val="7F8029CF"/>
    <w:rsid w:val="7FF62F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2"/>
    <w:qFormat/>
    <w:uiPriority w:val="9"/>
    <w:pPr>
      <w:keepNext/>
      <w:keepLines/>
      <w:numPr>
        <w:ilvl w:val="0"/>
        <w:numId w:val="1"/>
      </w:numPr>
      <w:spacing w:beforeLines="0" w:beforeAutospacing="0" w:afterLines="0" w:afterAutospacing="0" w:line="520" w:lineRule="exact"/>
      <w:ind w:firstLine="880" w:firstLineChars="200"/>
      <w:outlineLvl w:val="0"/>
    </w:pPr>
    <w:rPr>
      <w:rFonts w:eastAsia="黑体"/>
      <w:kern w:val="44"/>
      <w:sz w:val="32"/>
    </w:rPr>
  </w:style>
  <w:style w:type="paragraph" w:styleId="3">
    <w:name w:val="heading 2"/>
    <w:basedOn w:val="1"/>
    <w:next w:val="1"/>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unhideWhenUsed/>
    <w:qFormat/>
    <w:uiPriority w:val="9"/>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黑体"/>
      <w:sz w:val="20"/>
    </w:rPr>
  </w:style>
  <w:style w:type="paragraph" w:styleId="12">
    <w:name w:val="Balloon Text"/>
    <w:basedOn w:val="1"/>
    <w:link w:val="23"/>
    <w:unhideWhenUsed/>
    <w:qFormat/>
    <w:uiPriority w:val="99"/>
    <w:rPr>
      <w:sz w:val="18"/>
      <w:szCs w:val="18"/>
    </w:rPr>
  </w:style>
  <w:style w:type="paragraph" w:styleId="13">
    <w:name w:val="footer"/>
    <w:basedOn w:val="1"/>
    <w:link w:val="24"/>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next w:val="1"/>
    <w:unhideWhenUsed/>
    <w:qFormat/>
    <w:uiPriority w:val="39"/>
    <w:pPr>
      <w:keepNext/>
      <w:keepLines/>
      <w:widowControl/>
      <w:autoSpaceDE w:val="0"/>
      <w:autoSpaceDN w:val="0"/>
      <w:adjustRightInd w:val="0"/>
      <w:spacing w:line="360" w:lineRule="auto"/>
    </w:pPr>
    <w:rPr>
      <w:rFonts w:ascii="宋体" w:hAnsi="宋体" w:eastAsia="宋体" w:cs="宋体"/>
      <w:sz w:val="28"/>
      <w:szCs w:val="22"/>
      <w:lang w:val="en-US" w:eastAsia="zh-CN" w:bidi="ar-SA"/>
    </w:rPr>
  </w:style>
  <w:style w:type="table" w:styleId="17">
    <w:name w:val="Table Grid"/>
    <w:basedOn w:val="16"/>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FollowedHyperlink"/>
    <w:unhideWhenUsed/>
    <w:qFormat/>
    <w:uiPriority w:val="99"/>
    <w:rPr>
      <w:color w:val="4600A5"/>
      <w:u w:val="single"/>
    </w:rPr>
  </w:style>
  <w:style w:type="character" w:styleId="21">
    <w:name w:val="Hyperlink"/>
    <w:qFormat/>
    <w:uiPriority w:val="99"/>
    <w:rPr>
      <w:rFonts w:cs="Times New Roman"/>
      <w:color w:val="0000FF"/>
      <w:u w:val="single"/>
    </w:rPr>
  </w:style>
  <w:style w:type="character" w:customStyle="1" w:styleId="22">
    <w:name w:val="标题 1 Char"/>
    <w:link w:val="2"/>
    <w:qFormat/>
    <w:uiPriority w:val="0"/>
    <w:rPr>
      <w:rFonts w:eastAsia="黑体"/>
      <w:kern w:val="44"/>
      <w:sz w:val="32"/>
    </w:rPr>
  </w:style>
  <w:style w:type="character" w:customStyle="1" w:styleId="23">
    <w:name w:val="批注框文本 Char"/>
    <w:link w:val="12"/>
    <w:semiHidden/>
    <w:qFormat/>
    <w:uiPriority w:val="99"/>
    <w:rPr>
      <w:rFonts w:ascii="Calibri" w:hAnsi="Calibri" w:eastAsia="宋体" w:cs="Calibri"/>
      <w:sz w:val="18"/>
      <w:szCs w:val="18"/>
    </w:rPr>
  </w:style>
  <w:style w:type="character" w:customStyle="1" w:styleId="24">
    <w:name w:val="页脚 Char"/>
    <w:link w:val="13"/>
    <w:qFormat/>
    <w:uiPriority w:val="0"/>
    <w:rPr>
      <w:sz w:val="18"/>
      <w:szCs w:val="18"/>
    </w:rPr>
  </w:style>
  <w:style w:type="paragraph" w:customStyle="1" w:styleId="25">
    <w:name w:val="列出段落11"/>
    <w:basedOn w:val="1"/>
    <w:qFormat/>
    <w:uiPriority w:val="34"/>
    <w:pPr>
      <w:ind w:firstLine="420" w:firstLineChars="200"/>
    </w:pPr>
    <w:rPr>
      <w:rFonts w:cs="Times New Roman"/>
      <w:szCs w:val="22"/>
    </w:rPr>
  </w:style>
  <w:style w:type="paragraph" w:customStyle="1" w:styleId="26">
    <w:name w:val="列出段落1"/>
    <w:basedOn w:val="1"/>
    <w:qFormat/>
    <w:uiPriority w:val="0"/>
    <w:pPr>
      <w:ind w:firstLine="420" w:firstLineChars="200"/>
    </w:pPr>
  </w:style>
  <w:style w:type="paragraph" w:customStyle="1" w:styleId="27">
    <w:name w:val="16字号正文仿宋，缩进2"/>
    <w:basedOn w:val="1"/>
    <w:qFormat/>
    <w:uiPriority w:val="0"/>
    <w:pPr>
      <w:spacing w:line="560" w:lineRule="exact"/>
      <w:ind w:firstLine="880" w:firstLineChars="200"/>
      <w:jc w:val="both"/>
    </w:pPr>
    <w:rPr>
      <w:rFonts w:eastAsia="华文仿宋"/>
      <w:sz w:val="32"/>
    </w:rPr>
  </w:style>
  <w:style w:type="paragraph" w:customStyle="1" w:styleId="28">
    <w:name w:val="附件顺序编号"/>
    <w:basedOn w:val="2"/>
    <w:next w:val="1"/>
    <w:link w:val="29"/>
    <w:qFormat/>
    <w:uiPriority w:val="0"/>
    <w:pPr>
      <w:numPr>
        <w:numId w:val="2"/>
      </w:numPr>
      <w:tabs>
        <w:tab w:val="left" w:pos="0"/>
      </w:tabs>
      <w:spacing w:line="560" w:lineRule="exact"/>
      <w:ind w:firstLine="420" w:firstLineChars="0"/>
    </w:pPr>
    <w:rPr>
      <w:rFonts w:hint="eastAsia" w:ascii="黑体" w:hAnsi="黑体" w:cs="Times New Roman"/>
      <w:szCs w:val="24"/>
    </w:rPr>
  </w:style>
  <w:style w:type="character" w:customStyle="1" w:styleId="29">
    <w:name w:val="附件顺序编号 Char"/>
    <w:link w:val="28"/>
    <w:qFormat/>
    <w:uiPriority w:val="0"/>
    <w:rPr>
      <w:rFonts w:hint="eastAsia" w:ascii="黑体" w:hAnsi="黑体" w:eastAsia="黑体" w:cs="Times New Roman"/>
      <w:szCs w:val="24"/>
    </w:rPr>
  </w:style>
  <w:style w:type="paragraph" w:customStyle="1" w:styleId="30">
    <w:name w:val="p0"/>
    <w:basedOn w:val="1"/>
    <w:qFormat/>
    <w:uiPriority w:val="0"/>
    <w:pPr>
      <w:widowControl/>
    </w:pPr>
    <w:rPr>
      <w:kern w:val="0"/>
      <w:szCs w:val="21"/>
    </w:rPr>
  </w:style>
  <w:style w:type="character" w:customStyle="1" w:styleId="31">
    <w:name w:val="font21"/>
    <w:basedOn w:val="18"/>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emf"/><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jpe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4521</Words>
  <Characters>5312</Characters>
  <Lines>11</Lines>
  <Paragraphs>3</Paragraphs>
  <TotalTime>2</TotalTime>
  <ScaleCrop>false</ScaleCrop>
  <LinksUpToDate>false</LinksUpToDate>
  <CharactersWithSpaces>5338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2021-11-17T00:23:00Z</dcterms:created>
  <dc:creator>PC</dc:creator>
  <cp:lastModifiedBy>一路向北</cp:lastModifiedBy>
  <cp:lastPrinted>2024-12-03T05:53:00Z</cp:lastPrinted>
  <dcterms:modified xsi:type="dcterms:W3CDTF">2026-09-08T06:24:45Z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E38E8B2825014BEBB6F28EF8F1CF6F9B_13</vt:lpwstr>
  </property>
  <property fmtid="{D5CDD505-2E9C-101B-9397-08002B2CF9AE}" pid="4" name="KSOTemplateDocerSaveRecord">
    <vt:lpwstr>eyJoZGlkIjoiZjBkMDU4YzQ5ODQwY2MzNjQ2MDFmNjdkNWNhMDQ4ZWIiLCJ1c2VySWQiOiI1Mjg0NzQzNjkifQ==</vt:lpwstr>
  </property>
</Properties>
</file>